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8280"/>
          <w:tab w:val="right" w:pos="9781"/>
        </w:tabs>
        <w:snapToGrid w:val="0"/>
        <w:spacing w:after="0" w:line="240" w:lineRule="auto"/>
        <w:ind w:right="-57"/>
        <w:rPr>
          <w:rFonts w:cs="Arial"/>
          <w:bCs/>
          <w:sz w:val="22"/>
          <w:szCs w:val="22"/>
          <w:lang w:eastAsia="zh-CN"/>
        </w:rPr>
      </w:pPr>
      <w:bookmarkStart w:id="0" w:name="OLE_LINK1"/>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80"/>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2"/>
          <w:szCs w:val="22"/>
          <w:lang w:eastAsia="zh-CN"/>
        </w:rPr>
        <w:t xml:space="preserve">3GPP TSG RAN WG1 </w:t>
      </w:r>
      <w:r>
        <w:rPr>
          <w:rFonts w:hint="eastAsia" w:cs="Arial"/>
          <w:bCs/>
          <w:sz w:val="22"/>
          <w:szCs w:val="22"/>
          <w:lang w:eastAsia="zh-CN"/>
        </w:rPr>
        <w:t>#98bis                                                                                R1-1910106</w:t>
      </w:r>
    </w:p>
    <w:p>
      <w:pPr>
        <w:pStyle w:val="25"/>
        <w:snapToGrid w:val="0"/>
        <w:spacing w:afterLines="50" w:line="240" w:lineRule="auto"/>
        <w:rPr>
          <w:sz w:val="20"/>
          <w:szCs w:val="22"/>
          <w:lang w:eastAsia="ja-JP"/>
        </w:rPr>
      </w:pPr>
      <w:r>
        <w:rPr>
          <w:rFonts w:hint="eastAsia" w:eastAsia="宋体"/>
          <w:sz w:val="20"/>
          <w:szCs w:val="22"/>
          <w:lang w:eastAsia="zh-CN"/>
        </w:rPr>
        <w:t>Chongqing</w:t>
      </w:r>
      <w:r>
        <w:rPr>
          <w:rFonts w:hint="eastAsia"/>
          <w:sz w:val="20"/>
          <w:szCs w:val="22"/>
          <w:lang w:eastAsia="ja-JP"/>
        </w:rPr>
        <w:t xml:space="preserve">, </w:t>
      </w:r>
      <w:r>
        <w:rPr>
          <w:rFonts w:hint="eastAsia" w:eastAsia="宋体"/>
          <w:sz w:val="20"/>
          <w:szCs w:val="22"/>
          <w:lang w:eastAsia="zh-CN"/>
        </w:rPr>
        <w:t>China</w:t>
      </w:r>
      <w:r>
        <w:rPr>
          <w:rFonts w:hint="eastAsia"/>
          <w:sz w:val="20"/>
          <w:szCs w:val="22"/>
          <w:lang w:eastAsia="ja-JP"/>
        </w:rPr>
        <w:t xml:space="preserve">, </w:t>
      </w:r>
      <w:r>
        <w:rPr>
          <w:rFonts w:hint="eastAsia" w:eastAsia="宋体"/>
          <w:sz w:val="20"/>
          <w:szCs w:val="22"/>
          <w:lang w:eastAsia="zh-CN"/>
        </w:rPr>
        <w:t>October 14</w:t>
      </w:r>
      <w:r>
        <w:rPr>
          <w:rFonts w:hint="eastAsia"/>
          <w:sz w:val="20"/>
          <w:szCs w:val="22"/>
          <w:vertAlign w:val="superscript"/>
          <w:lang w:eastAsia="ja-JP"/>
        </w:rPr>
        <w:t>th</w:t>
      </w:r>
      <w:r>
        <w:rPr>
          <w:rFonts w:hint="eastAsia"/>
          <w:sz w:val="20"/>
          <w:szCs w:val="22"/>
          <w:lang w:eastAsia="ja-JP"/>
        </w:rPr>
        <w:t xml:space="preserve"> – </w:t>
      </w:r>
      <w:r>
        <w:rPr>
          <w:rFonts w:hint="eastAsia" w:eastAsia="宋体"/>
          <w:sz w:val="20"/>
          <w:szCs w:val="22"/>
          <w:lang w:eastAsia="zh-CN"/>
        </w:rPr>
        <w:t>20</w:t>
      </w:r>
      <w:r>
        <w:rPr>
          <w:rFonts w:hint="eastAsia"/>
          <w:sz w:val="20"/>
          <w:szCs w:val="22"/>
          <w:vertAlign w:val="superscript"/>
          <w:lang w:eastAsia="ja-JP"/>
        </w:rPr>
        <w:t>th</w:t>
      </w:r>
      <w:r>
        <w:rPr>
          <w:rFonts w:hint="eastAsia"/>
          <w:sz w:val="20"/>
          <w:szCs w:val="22"/>
          <w:lang w:eastAsia="ja-JP"/>
        </w:rPr>
        <w:t>, 2019</w:t>
      </w:r>
    </w:p>
    <w:p>
      <w:pPr>
        <w:pStyle w:val="25"/>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5"/>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Other enhancements for Rel-16 URLLC</w:t>
      </w:r>
      <w:bookmarkStart w:id="3" w:name="_GoBack"/>
      <w:bookmarkEnd w:id="3"/>
    </w:p>
    <w:p>
      <w:pPr>
        <w:pStyle w:val="25"/>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7.2.6.7</w:t>
      </w:r>
    </w:p>
    <w:p>
      <w:pPr>
        <w:pStyle w:val="25"/>
        <w:spacing w:afterLines="50" w:line="240" w:lineRule="auto"/>
        <w:rPr>
          <w:sz w:val="20"/>
        </w:rPr>
      </w:pPr>
      <w:r>
        <w:rPr>
          <w:sz w:val="20"/>
        </w:rPr>
        <w:t>Document for:  Discussion and Decision</w:t>
      </w:r>
      <w:bookmarkEnd w:id="0"/>
    </w:p>
    <w:p>
      <w:pPr>
        <w:pStyle w:val="2"/>
        <w:spacing w:beforeLines="0" w:afterLines="50"/>
      </w:pPr>
      <w:r>
        <w:t>I</w:t>
      </w:r>
      <w:r>
        <w:rPr>
          <w:rFonts w:hint="eastAsia"/>
        </w:rPr>
        <w:t>ntroduction</w:t>
      </w:r>
    </w:p>
    <w:p>
      <w:pPr>
        <w:numPr>
          <w:ilvl w:val="-1"/>
          <w:numId w:val="0"/>
        </w:numPr>
        <w:ind w:left="0" w:firstLine="0"/>
        <w:rPr>
          <w:lang w:val="en-US" w:eastAsia="zh-CN"/>
        </w:rPr>
      </w:pPr>
      <w:r>
        <w:rPr>
          <w:rFonts w:hint="eastAsia" w:eastAsia="宋体"/>
          <w:lang w:val="en-US" w:eastAsia="zh-CN"/>
        </w:rPr>
        <w:t>In this contribution, we provide our views mainly on RAN1 impacts due to s</w:t>
      </w:r>
      <w:r>
        <w:rPr>
          <w:rFonts w:hint="eastAsia"/>
        </w:rPr>
        <w:t xml:space="preserve">horter SPS </w:t>
      </w:r>
      <w:r>
        <w:rPr>
          <w:rFonts w:hint="eastAsia"/>
          <w:lang w:val="en-US" w:eastAsia="zh-CN"/>
        </w:rPr>
        <w:t>periodicities.</w:t>
      </w:r>
    </w:p>
    <w:p>
      <w:pPr>
        <w:numPr>
          <w:ilvl w:val="-1"/>
          <w:numId w:val="0"/>
        </w:numPr>
        <w:ind w:left="0" w:firstLine="0"/>
        <w:rPr>
          <w:rFonts w:hint="eastAsia" w:eastAsia="宋体"/>
          <w:lang w:val="en-US" w:eastAsia="zh-CN"/>
        </w:rPr>
      </w:pPr>
      <w:r>
        <w:rPr>
          <w:rFonts w:hint="eastAsia" w:eastAsia="宋体"/>
          <w:lang w:val="en-US" w:eastAsia="zh-CN"/>
        </w:rPr>
        <w:t xml:space="preserve">Note, the discussion on intra-UE </w:t>
      </w:r>
      <w:r>
        <w:rPr>
          <w:rFonts w:hint="eastAsia"/>
          <w:szCs w:val="28"/>
          <w:lang w:val="en-US"/>
        </w:rPr>
        <w:t>prioritization</w:t>
      </w:r>
      <w:r>
        <w:rPr>
          <w:rFonts w:hint="eastAsia" w:eastAsia="宋体"/>
          <w:lang w:val="en-US" w:eastAsia="zh-CN"/>
        </w:rPr>
        <w:t xml:space="preserve"> for </w:t>
      </w:r>
      <w:r>
        <w:t>resource conflicts between dynamic grant (DG) and configured grant (CG) PUSCH and conflicts involving multiple CGs</w:t>
      </w:r>
      <w:r>
        <w:rPr>
          <w:rFonts w:hint="eastAsia" w:eastAsia="宋体"/>
          <w:lang w:val="en-US" w:eastAsia="zh-CN"/>
        </w:rPr>
        <w:t xml:space="preserve"> and intra-UE </w:t>
      </w:r>
      <w:r>
        <w:rPr>
          <w:rFonts w:hint="eastAsia"/>
          <w:szCs w:val="28"/>
          <w:lang w:val="en-US"/>
        </w:rPr>
        <w:t>prioritization</w:t>
      </w:r>
      <w:r>
        <w:rPr>
          <w:rFonts w:hint="eastAsia" w:eastAsia="宋体"/>
          <w:szCs w:val="28"/>
          <w:lang w:val="en-US" w:eastAsia="zh-CN"/>
        </w:rPr>
        <w:t xml:space="preserve"> related to </w:t>
      </w:r>
      <w:r>
        <w:rPr>
          <w:rFonts w:hint="eastAsia" w:eastAsia="宋体"/>
          <w:lang w:val="en-US" w:eastAsia="zh-CN"/>
        </w:rPr>
        <w:t>SPS PDSCH is provided in our companion contribution for UCI enhancement [1].</w:t>
      </w:r>
    </w:p>
    <w:p>
      <w:pPr>
        <w:numPr>
          <w:ilvl w:val="-1"/>
          <w:numId w:val="0"/>
        </w:numPr>
        <w:ind w:left="0" w:firstLine="0"/>
        <w:rPr>
          <w:rFonts w:eastAsiaTheme="minorEastAsia"/>
          <w:b/>
          <w:bCs/>
          <w:kern w:val="2"/>
          <w:lang w:val="en-US" w:eastAsia="zh-CN"/>
        </w:rPr>
      </w:pPr>
      <w:r>
        <w:rPr>
          <w:rFonts w:hint="eastAsia" w:eastAsia="宋体"/>
          <w:lang w:val="en-US" w:eastAsia="zh-CN"/>
        </w:rPr>
        <w:t>For multiple SPS configurations, we assume the same rules could be reused as UL CG configurations, and our views are provided in our companion contribution for enhancements for CG configuration [2].</w:t>
      </w:r>
    </w:p>
    <w:p>
      <w:pPr>
        <w:pStyle w:val="2"/>
        <w:spacing w:before="180"/>
        <w:rPr>
          <w:lang w:val="en-US"/>
        </w:rPr>
      </w:pPr>
      <w:r>
        <w:rPr>
          <w:rFonts w:hint="eastAsia"/>
          <w:lang w:val="en-US" w:eastAsia="zh-CN"/>
        </w:rPr>
        <w:t>RAN1 impacts due to s</w:t>
      </w:r>
      <w:r>
        <w:rPr>
          <w:rFonts w:hint="eastAsia"/>
        </w:rPr>
        <w:t xml:space="preserve">horter SPS </w:t>
      </w:r>
      <w:r>
        <w:rPr>
          <w:rFonts w:hint="eastAsia"/>
          <w:lang w:val="en-US"/>
        </w:rPr>
        <w:t>periodicities</w:t>
      </w:r>
    </w:p>
    <w:p>
      <w:pPr>
        <w:rPr>
          <w:lang w:val="en-US" w:eastAsia="zh-CN"/>
        </w:rPr>
      </w:pPr>
      <w:r>
        <w:rPr>
          <w:rFonts w:hint="eastAsia"/>
          <w:color w:val="000000" w:themeColor="text1"/>
          <w:lang w:val="en-US" w:eastAsia="zh-CN"/>
        </w:rPr>
        <w:t xml:space="preserve">RAN2 was agreed to </w:t>
      </w:r>
      <w:r>
        <w:rPr>
          <w:lang w:val="en-US"/>
        </w:rPr>
        <w:t>support short SPS periodicities at least down to 0.5ms</w:t>
      </w:r>
      <w:r>
        <w:rPr>
          <w:rFonts w:eastAsia="宋体"/>
          <w:lang w:val="en-US" w:eastAsia="zh-CN"/>
        </w:rPr>
        <w:t>, and a</w:t>
      </w:r>
      <w:r>
        <w:rPr>
          <w:lang w:val="en-US"/>
        </w:rPr>
        <w:t>sk</w:t>
      </w:r>
      <w:r>
        <w:rPr>
          <w:rFonts w:hint="eastAsia" w:eastAsia="宋体"/>
          <w:lang w:val="en-US" w:eastAsia="zh-CN"/>
        </w:rPr>
        <w:t>ed</w:t>
      </w:r>
      <w:r>
        <w:rPr>
          <w:lang w:val="en-US"/>
        </w:rPr>
        <w:t xml:space="preserve"> R</w:t>
      </w:r>
      <w:r>
        <w:rPr>
          <w:rFonts w:hint="eastAsia" w:eastAsia="宋体"/>
          <w:lang w:val="en-US" w:eastAsia="zh-CN"/>
        </w:rPr>
        <w:t>AN</w:t>
      </w:r>
      <w:r>
        <w:rPr>
          <w:lang w:val="en-US"/>
        </w:rPr>
        <w:t>1 on feasibility</w:t>
      </w:r>
      <w:r>
        <w:rPr>
          <w:rFonts w:eastAsia="宋体"/>
          <w:lang w:val="en-US" w:eastAsia="zh-CN"/>
        </w:rPr>
        <w:t xml:space="preserve">. </w:t>
      </w:r>
      <w:r>
        <w:rPr>
          <w:rFonts w:hint="eastAsia"/>
          <w:lang w:val="en-US" w:eastAsia="zh-CN"/>
        </w:rPr>
        <w:t xml:space="preserve">In the RAN1#98 meeting, RAN1 reached the following agreements on this aspect [3]. </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trPr>
        <w:tc>
          <w:tcPr>
            <w:tcW w:w="9571" w:type="dxa"/>
          </w:tcPr>
          <w:p>
            <w:pPr>
              <w:pStyle w:val="108"/>
              <w:numPr>
                <w:ilvl w:val="-1"/>
                <w:numId w:val="0"/>
              </w:numPr>
              <w:spacing w:after="0"/>
              <w:ind w:left="0" w:firstLine="0"/>
              <w:contextualSpacing/>
            </w:pPr>
            <w:r>
              <w:rPr>
                <w:highlight w:val="green"/>
              </w:rPr>
              <w:t>Agreements</w:t>
            </w:r>
            <w:r>
              <w:t>:</w:t>
            </w:r>
          </w:p>
          <w:p>
            <w:pPr>
              <w:pStyle w:val="108"/>
              <w:numPr>
                <w:ilvl w:val="-1"/>
                <w:numId w:val="0"/>
              </w:numPr>
              <w:spacing w:after="0"/>
              <w:ind w:left="0" w:firstLine="0"/>
              <w:contextualSpacing/>
              <w:rPr>
                <w:rFonts w:ascii="Times New Roman" w:hAnsi="Times New Roman"/>
                <w:szCs w:val="20"/>
                <w:lang w:eastAsia="zh-CN"/>
              </w:rPr>
            </w:pPr>
            <w:r>
              <w:rPr>
                <w:rFonts w:ascii="Times New Roman" w:hAnsi="Times New Roman"/>
                <w:szCs w:val="20"/>
                <w:lang w:eastAsia="zh-CN"/>
              </w:rPr>
              <w:t>For cases where only HARQ-ACK feedback for SPS PDSCHs shall be reported (i.e. no dynamic PDSCH HARQ-ACK), support more than one bit of HARQ-ACK feedback for SPS PDSCH without an associated grant in a PUCCH resource</w:t>
            </w:r>
          </w:p>
          <w:p>
            <w:pPr>
              <w:pStyle w:val="108"/>
              <w:numPr>
                <w:ilvl w:val="-1"/>
                <w:numId w:val="0"/>
              </w:numPr>
              <w:spacing w:after="0"/>
              <w:ind w:left="402" w:leftChars="0" w:firstLine="0"/>
              <w:contextualSpacing/>
              <w:rPr>
                <w:rFonts w:ascii="Times New Roman" w:hAnsi="Times New Roman"/>
                <w:szCs w:val="20"/>
                <w:lang w:eastAsia="zh-CN"/>
              </w:rPr>
            </w:pPr>
            <w:r>
              <w:rPr>
                <w:rFonts w:hint="eastAsia"/>
                <w:szCs w:val="20"/>
                <w:lang w:val="en-US" w:eastAsia="zh-CN"/>
              </w:rPr>
              <w:t xml:space="preserve">- </w:t>
            </w:r>
            <w:r>
              <w:rPr>
                <w:rFonts w:ascii="Times New Roman" w:hAnsi="Times New Roman"/>
                <w:szCs w:val="20"/>
                <w:lang w:eastAsia="zh-CN"/>
              </w:rPr>
              <w:t>FFS applicability to all PUCCH formats</w:t>
            </w:r>
          </w:p>
          <w:p>
            <w:pPr>
              <w:pStyle w:val="108"/>
              <w:numPr>
                <w:ilvl w:val="-1"/>
                <w:numId w:val="0"/>
              </w:numPr>
              <w:spacing w:after="0"/>
              <w:ind w:left="402" w:leftChars="0" w:firstLine="0"/>
              <w:contextualSpacing/>
              <w:rPr>
                <w:rFonts w:ascii="Times New Roman" w:hAnsi="Times New Roman"/>
                <w:szCs w:val="20"/>
                <w:lang w:eastAsia="zh-CN"/>
              </w:rPr>
            </w:pPr>
            <w:r>
              <w:rPr>
                <w:rFonts w:hint="eastAsia"/>
                <w:szCs w:val="20"/>
                <w:lang w:val="en-US" w:eastAsia="zh-CN"/>
              </w:rPr>
              <w:t xml:space="preserve">- </w:t>
            </w:r>
            <w:r>
              <w:rPr>
                <w:rFonts w:ascii="Times New Roman" w:hAnsi="Times New Roman"/>
                <w:szCs w:val="20"/>
                <w:lang w:eastAsia="zh-CN"/>
              </w:rPr>
              <w:t>FFS the number of bits, e.g., the # of configured/activated SPS configurations, etc.</w:t>
            </w:r>
          </w:p>
          <w:p>
            <w:pPr>
              <w:pStyle w:val="108"/>
              <w:numPr>
                <w:ilvl w:val="-1"/>
                <w:numId w:val="0"/>
              </w:numPr>
              <w:spacing w:after="0"/>
              <w:ind w:left="402" w:firstLine="0"/>
              <w:contextualSpacing/>
              <w:rPr>
                <w:highlight w:val="green"/>
              </w:rPr>
            </w:pPr>
            <w:r>
              <w:rPr>
                <w:rFonts w:hint="eastAsia" w:eastAsia="宋体"/>
                <w:szCs w:val="20"/>
                <w:lang w:val="en-US" w:eastAsia="zh-CN"/>
              </w:rPr>
              <w:t xml:space="preserve">- </w:t>
            </w:r>
            <w:r>
              <w:rPr>
                <w:rFonts w:hint="eastAsia" w:ascii="Times New Roman" w:hAnsi="Times New Roman"/>
                <w:szCs w:val="20"/>
              </w:rPr>
              <w:t xml:space="preserve">FFS how to </w:t>
            </w:r>
            <w:r>
              <w:rPr>
                <w:rFonts w:ascii="Times New Roman" w:hAnsi="Times New Roman"/>
                <w:szCs w:val="20"/>
              </w:rPr>
              <w:t xml:space="preserve">construct both type-1 and type-2 HARQ-ACK codebook for cases where HARQ-ACK feedback for SPS PDSCH is multiplexed with dynamic PDSCH HARQ-ACK </w:t>
            </w:r>
          </w:p>
        </w:tc>
      </w:tr>
    </w:tbl>
    <w:p>
      <w:pPr>
        <w:rPr>
          <w:lang w:val="en-US" w:eastAsia="zh-CN"/>
        </w:rPr>
      </w:pPr>
    </w:p>
    <w:p>
      <w:pPr>
        <w:numPr>
          <w:ilvl w:val="1"/>
          <w:numId w:val="1"/>
        </w:numPr>
        <w:spacing w:after="180"/>
        <w:rPr>
          <w:sz w:val="24"/>
          <w:szCs w:val="24"/>
        </w:rPr>
      </w:pPr>
      <w:r>
        <w:rPr>
          <w:rFonts w:hint="eastAsia"/>
          <w:lang w:val="en-US" w:eastAsia="zh-CN"/>
        </w:rPr>
        <w:t xml:space="preserve">In the following, we provide more details on our thinking for RAN1 impacts due to shorter SPS periodicities. </w:t>
      </w:r>
    </w:p>
    <w:p>
      <w:pPr>
        <w:numPr>
          <w:ilvl w:val="0"/>
          <w:numId w:val="4"/>
        </w:numPr>
        <w:rPr>
          <w:b/>
          <w:bCs/>
          <w:lang w:val="en-US" w:eastAsia="zh-CN"/>
        </w:rPr>
      </w:pPr>
      <w:r>
        <w:rPr>
          <w:rFonts w:hint="eastAsia"/>
          <w:b/>
          <w:bCs/>
          <w:lang w:val="en-US" w:eastAsia="zh-CN"/>
        </w:rPr>
        <w:t>Impact 1: The number of bits and PUCCH formats for SPS PDSCH</w:t>
      </w:r>
    </w:p>
    <w:p>
      <w:pPr>
        <w:rPr>
          <w:rFonts w:hint="eastAsia"/>
          <w:szCs w:val="20"/>
          <w:lang w:val="en-US" w:eastAsia="zh-CN"/>
        </w:rPr>
      </w:pPr>
      <w:r>
        <w:rPr>
          <w:rFonts w:hint="eastAsia"/>
          <w:lang w:val="en-US" w:eastAsia="zh-CN"/>
        </w:rPr>
        <w:t>The FFS points are the number of bits for SPS PDSCH and whether all PUCCH formats are applicable</w:t>
      </w:r>
      <w:r>
        <w:rPr>
          <w:rFonts w:hint="eastAsia"/>
          <w:szCs w:val="20"/>
          <w:lang w:val="en-US" w:eastAsia="zh-CN"/>
        </w:rPr>
        <w:t xml:space="preserve"> As we analyzed in our previous contribution [4], more than 1 bit of HARQ-ACK could be caused by cases like 1) TDD case, 2) DL SCS is larger than UL SCS, 3) the number of SPS configurations. This would cause the number of bits for SPS PDSCH is relatively very large. For instance, it is 4*8*4=128 bits in case DL SCS is 60KHz and UL SCS is 15kHz, 8 SPS configurations and in a slot configuration of {DDDDU}. In this sense, we think it is better to support all PUCCH formats for SPS PDSCH.</w:t>
      </w:r>
    </w:p>
    <w:p>
      <w:pPr>
        <w:rPr>
          <w:rFonts w:hint="default"/>
          <w:i/>
          <w:iCs/>
          <w:szCs w:val="20"/>
          <w:lang w:val="en-US" w:eastAsia="zh-CN"/>
        </w:rPr>
      </w:pPr>
      <w:r>
        <w:rPr>
          <w:rFonts w:hint="eastAsia"/>
          <w:b/>
          <w:bCs/>
          <w:i/>
          <w:iCs/>
          <w:szCs w:val="20"/>
          <w:lang w:val="en-US" w:eastAsia="zh-CN"/>
        </w:rPr>
        <w:t>Observation 1:</w:t>
      </w:r>
      <w:r>
        <w:rPr>
          <w:rFonts w:hint="eastAsia"/>
          <w:i/>
          <w:iCs/>
          <w:szCs w:val="20"/>
          <w:lang w:val="en-US" w:eastAsia="zh-CN"/>
        </w:rPr>
        <w:t xml:space="preserve"> The number of HARQ-ACK bits for SPS PDSCH could be relatively large, e.g., 128 bits depending on the SCS, number of SPS configuration and TDD configuration. </w:t>
      </w:r>
    </w:p>
    <w:p>
      <w:pPr>
        <w:rPr>
          <w:rFonts w:ascii="Times New Roman" w:hAnsi="Times New Roman"/>
          <w:i/>
          <w:iCs/>
          <w:szCs w:val="20"/>
          <w:lang w:val="en-US" w:eastAsia="zh-CN"/>
        </w:rPr>
      </w:pPr>
      <w:r>
        <w:rPr>
          <w:rFonts w:hint="eastAsia" w:eastAsia="宋体"/>
          <w:b/>
          <w:bCs/>
          <w:i/>
          <w:iCs/>
          <w:lang w:val="en-US" w:eastAsia="zh-CN"/>
        </w:rPr>
        <w:t>Proposal 1:</w:t>
      </w:r>
      <w:r>
        <w:rPr>
          <w:rFonts w:hint="eastAsia" w:eastAsia="宋体"/>
          <w:i/>
          <w:iCs/>
          <w:lang w:val="en-US" w:eastAsia="zh-CN"/>
        </w:rPr>
        <w:t xml:space="preserve"> S</w:t>
      </w:r>
      <w:r>
        <w:rPr>
          <w:rFonts w:hint="eastAsia" w:eastAsia="宋体"/>
          <w:i/>
          <w:iCs/>
          <w:sz w:val="21"/>
          <w:szCs w:val="22"/>
          <w:lang w:val="en-US" w:eastAsia="zh-CN"/>
        </w:rPr>
        <w:t xml:space="preserve">upport </w:t>
      </w:r>
      <w:r>
        <w:rPr>
          <w:rFonts w:hint="eastAsia"/>
          <w:i/>
          <w:iCs/>
          <w:lang w:val="en-US" w:eastAsia="zh-CN"/>
        </w:rPr>
        <w:t>all PUCCH formats</w:t>
      </w:r>
      <w:r>
        <w:rPr>
          <w:rFonts w:hint="eastAsia"/>
          <w:i/>
          <w:iCs/>
          <w:lang w:val="en-US" w:eastAsia="zh-CN"/>
        </w:rPr>
        <w:t xml:space="preserve"> f</w:t>
      </w:r>
      <w:r>
        <w:rPr>
          <w:rFonts w:ascii="Times New Roman" w:hAnsi="Times New Roman"/>
          <w:i/>
          <w:iCs/>
          <w:szCs w:val="20"/>
          <w:lang w:eastAsia="zh-CN"/>
        </w:rPr>
        <w:t>or SPS PDSCH without an associated grant in a PUCCH resource</w:t>
      </w:r>
      <w:r>
        <w:rPr>
          <w:rFonts w:hint="eastAsia"/>
          <w:i/>
          <w:iCs/>
          <w:szCs w:val="20"/>
          <w:lang w:val="en-US" w:eastAsia="zh-CN"/>
        </w:rPr>
        <w:t xml:space="preserve">. </w:t>
      </w:r>
    </w:p>
    <w:p>
      <w:pPr>
        <w:rPr>
          <w:rFonts w:hint="eastAsia"/>
          <w:lang w:val="en-US" w:eastAsia="zh-CN"/>
        </w:rPr>
      </w:pPr>
      <w:r>
        <w:rPr>
          <w:rFonts w:hint="eastAsia"/>
          <w:lang w:val="en-US" w:eastAsia="zh-CN"/>
        </w:rPr>
        <w:t>When multiple SPS configurations are configured, it needs further study on whether configuring separate PUCCH resources or joint PUCCH resources for different SPS configurations. If a joint set of PUCCH resources are supported, then it is straightforward to choose the PUCCH from the joint PUCCH set. If separate PUCCH resource configuration is used, then it needs to define the chosen PUCCH resource is derived from which SPS configuration, e.g., based on the last SPS PDSCH reception or the configuration with high priority.</w:t>
      </w:r>
    </w:p>
    <w:p>
      <w:pPr>
        <w:rPr>
          <w:rFonts w:hint="eastAsia"/>
          <w:i/>
          <w:iCs/>
          <w:lang w:val="en-US" w:eastAsia="zh-CN"/>
        </w:rPr>
      </w:pPr>
      <w:r>
        <w:rPr>
          <w:rFonts w:hint="eastAsia" w:eastAsia="宋体"/>
          <w:b/>
          <w:bCs/>
          <w:i/>
          <w:iCs/>
          <w:lang w:val="en-US" w:eastAsia="zh-CN"/>
        </w:rPr>
        <w:t xml:space="preserve">Proposal 2: </w:t>
      </w:r>
      <w:r>
        <w:rPr>
          <w:rFonts w:hint="eastAsia"/>
          <w:i/>
          <w:iCs/>
          <w:lang w:val="en-US" w:eastAsia="zh-CN"/>
        </w:rPr>
        <w:t>In case</w:t>
      </w:r>
      <w:r>
        <w:rPr>
          <w:rFonts w:hint="eastAsia"/>
          <w:i/>
          <w:iCs/>
          <w:lang w:val="en-US" w:eastAsia="zh-CN"/>
        </w:rPr>
        <w:t xml:space="preserve"> separate PUCCH resource configuration is </w:t>
      </w:r>
      <w:r>
        <w:rPr>
          <w:rFonts w:hint="eastAsia"/>
          <w:i/>
          <w:iCs/>
          <w:lang w:val="en-US" w:eastAsia="zh-CN"/>
        </w:rPr>
        <w:t>supported for multiple SPS configurations, the P</w:t>
      </w:r>
      <w:r>
        <w:rPr>
          <w:rFonts w:hint="eastAsia"/>
          <w:i/>
          <w:iCs/>
          <w:lang w:val="en-US" w:eastAsia="zh-CN"/>
        </w:rPr>
        <w:t>UCCH resource is derived from the last SPS PDSCH reception</w:t>
      </w:r>
      <w:r>
        <w:rPr>
          <w:rFonts w:hint="eastAsia"/>
          <w:i/>
          <w:iCs/>
          <w:lang w:val="en-US" w:eastAsia="zh-CN"/>
        </w:rPr>
        <w:t xml:space="preserve"> or </w:t>
      </w:r>
      <w:r>
        <w:rPr>
          <w:rFonts w:hint="eastAsia"/>
          <w:i/>
          <w:iCs/>
          <w:lang w:val="en-US" w:eastAsia="zh-CN"/>
        </w:rPr>
        <w:t>the configuration with high priority.</w:t>
      </w:r>
    </w:p>
    <w:p>
      <w:pPr>
        <w:rPr>
          <w:rFonts w:hint="default"/>
          <w:lang w:val="en-US" w:eastAsia="zh-CN"/>
        </w:rPr>
      </w:pPr>
      <w:r>
        <w:rPr>
          <w:rFonts w:hint="eastAsia"/>
          <w:lang w:val="en-US" w:eastAsia="zh-CN"/>
        </w:rPr>
        <w:t xml:space="preserve">Furthermore, how many PUCCH resources are configured, e.g., 5 PUCCH resources with one resource for one PUCCH format or configure one or more PUCCH resource set, should be also discussed. In our views, as legacy Rel-15, it seems no need to configure PUCCH resource set for SPS PDSCH since the number of bits would not be changed very dynamically (e.g. changed based on slot configuration and number of SPS configurations activated). </w:t>
      </w:r>
    </w:p>
    <w:p>
      <w:pPr>
        <w:rPr>
          <w:rFonts w:hint="eastAsia"/>
          <w:i/>
          <w:iCs/>
          <w:lang w:val="en-US" w:eastAsia="zh-CN"/>
        </w:rPr>
      </w:pPr>
      <w:r>
        <w:rPr>
          <w:rFonts w:hint="eastAsia" w:eastAsia="宋体"/>
          <w:b/>
          <w:bCs/>
          <w:i/>
          <w:iCs/>
          <w:lang w:val="en-US" w:eastAsia="zh-CN"/>
        </w:rPr>
        <w:t>Proposal 3:</w:t>
      </w:r>
      <w:r>
        <w:rPr>
          <w:rFonts w:hint="eastAsia" w:eastAsia="宋体"/>
          <w:i/>
          <w:iCs/>
          <w:lang w:val="en-US" w:eastAsia="zh-CN"/>
        </w:rPr>
        <w:t xml:space="preserve"> Support at least 2</w:t>
      </w:r>
      <w:r>
        <w:rPr>
          <w:rFonts w:hint="eastAsia"/>
          <w:i/>
          <w:iCs/>
          <w:lang w:val="en-US" w:eastAsia="zh-CN"/>
        </w:rPr>
        <w:t xml:space="preserve"> PUCCH resources </w:t>
      </w:r>
      <w:r>
        <w:rPr>
          <w:rFonts w:hint="eastAsia"/>
          <w:i/>
          <w:iCs/>
          <w:lang w:val="en-US" w:eastAsia="zh-CN"/>
        </w:rPr>
        <w:t>for SPS PDSCH, one for up to 2 bits and one or more for more than 2 bits.</w:t>
      </w:r>
    </w:p>
    <w:p>
      <w:pPr>
        <w:numPr>
          <w:ilvl w:val="0"/>
          <w:numId w:val="5"/>
        </w:numPr>
        <w:ind w:left="840" w:hanging="420"/>
        <w:rPr>
          <w:rFonts w:hint="default"/>
          <w:i/>
          <w:iCs/>
          <w:lang w:val="en-US" w:eastAsia="zh-CN"/>
        </w:rPr>
      </w:pPr>
      <w:r>
        <w:rPr>
          <w:rFonts w:hint="eastAsia"/>
          <w:i/>
          <w:iCs/>
          <w:lang w:val="en-US" w:eastAsia="zh-CN"/>
        </w:rPr>
        <w:t xml:space="preserve">Up to 5 PUCCH resources are configured for SPS PDSCH. </w:t>
      </w:r>
    </w:p>
    <w:p>
      <w:pPr>
        <w:numPr>
          <w:ilvl w:val="0"/>
          <w:numId w:val="4"/>
        </w:numPr>
        <w:rPr>
          <w:b/>
          <w:bCs/>
          <w:lang w:val="en-US" w:eastAsia="zh-CN"/>
        </w:rPr>
      </w:pPr>
      <w:r>
        <w:rPr>
          <w:rFonts w:hint="eastAsia"/>
          <w:b/>
          <w:bCs/>
          <w:lang w:val="en-US" w:eastAsia="zh-CN"/>
        </w:rPr>
        <w:t>Impact 2: HARQ-ACK timing indication</w:t>
      </w:r>
    </w:p>
    <w:p>
      <w:pPr>
        <w:rPr>
          <w:lang w:val="en-US" w:eastAsia="zh-CN"/>
        </w:rPr>
      </w:pPr>
      <w:r>
        <w:rPr>
          <w:rFonts w:hint="eastAsia"/>
          <w:lang w:val="en-US" w:eastAsia="zh-CN"/>
        </w:rPr>
        <w:t xml:space="preserve">Based on current specification, if slot </w:t>
      </w:r>
      <w:r>
        <w:rPr>
          <w:rFonts w:hint="eastAsia"/>
          <w:i/>
          <w:iCs/>
          <w:lang w:val="en-US" w:eastAsia="zh-CN"/>
        </w:rPr>
        <w:t>n+k</w:t>
      </w:r>
      <w:r>
        <w:rPr>
          <w:rFonts w:hint="eastAsia"/>
          <w:lang w:val="en-US" w:eastAsia="zh-CN"/>
        </w:rPr>
        <w:t xml:space="preserve"> is not a uplink slot, the UE will not transmit the HARQ-ACK. This is not an issue when the SPS periodicity is no less than 10ms. Because the network can always make sure the slot </w:t>
      </w:r>
      <w:r>
        <w:rPr>
          <w:rFonts w:hint="eastAsia"/>
          <w:i/>
          <w:iCs/>
          <w:lang w:val="en-US" w:eastAsia="zh-CN"/>
        </w:rPr>
        <w:t>n+k</w:t>
      </w:r>
      <w:r>
        <w:rPr>
          <w:rFonts w:hint="eastAsia"/>
          <w:lang w:val="en-US" w:eastAsia="zh-CN"/>
        </w:rPr>
        <w:t xml:space="preserve"> is an uplink slot by implementation. However, it will be very difficult or even impossible to guarantee it when SPS periodicity is reduced. For instance, a </w:t>
      </w:r>
      <w:r>
        <w:t xml:space="preserve">TDD configuration </w:t>
      </w:r>
      <w:r>
        <w:rPr>
          <w:rFonts w:hint="eastAsia"/>
          <w:lang w:val="en-US" w:eastAsia="zh-CN"/>
        </w:rPr>
        <w:t>with a periodicity of</w:t>
      </w:r>
      <w:r>
        <w:t xml:space="preserve"> </w:t>
      </w:r>
      <w:r>
        <w:rPr>
          <w:lang w:val="en-US" w:eastAsia="zh-CN"/>
        </w:rPr>
        <w:t>‘</w:t>
      </w:r>
      <w:r>
        <w:rPr>
          <w:rFonts w:hint="eastAsia"/>
          <w:lang w:val="en-US" w:eastAsia="zh-CN"/>
        </w:rPr>
        <w:t>DDDDU</w:t>
      </w:r>
      <w:r>
        <w:rPr>
          <w:lang w:val="en-US" w:eastAsia="zh-CN"/>
        </w:rPr>
        <w:t>’</w:t>
      </w:r>
      <w:r>
        <w:rPr>
          <w:rFonts w:hint="eastAsia"/>
          <w:lang w:val="en-US" w:eastAsia="zh-CN"/>
        </w:rPr>
        <w:t xml:space="preserve">, where </w:t>
      </w:r>
      <w:r>
        <w:rPr>
          <w:lang w:val="en-US" w:eastAsia="zh-CN"/>
        </w:rPr>
        <w:t>‘</w:t>
      </w:r>
      <w:r>
        <w:rPr>
          <w:rFonts w:hint="eastAsia"/>
          <w:lang w:val="en-US" w:eastAsia="zh-CN"/>
        </w:rPr>
        <w:t>D</w:t>
      </w:r>
      <w:r>
        <w:rPr>
          <w:lang w:val="en-US" w:eastAsia="zh-CN"/>
        </w:rPr>
        <w:t>’</w:t>
      </w:r>
      <w:r>
        <w:rPr>
          <w:rFonts w:hint="eastAsia"/>
          <w:lang w:val="en-US" w:eastAsia="zh-CN"/>
        </w:rPr>
        <w:t xml:space="preserve"> means a downlink slot and </w:t>
      </w:r>
      <w:r>
        <w:rPr>
          <w:lang w:val="en-US" w:eastAsia="zh-CN"/>
        </w:rPr>
        <w:t>‘</w:t>
      </w:r>
      <w:r>
        <w:rPr>
          <w:rFonts w:hint="eastAsia"/>
          <w:lang w:val="en-US" w:eastAsia="zh-CN"/>
        </w:rPr>
        <w:t>U</w:t>
      </w:r>
      <w:r>
        <w:rPr>
          <w:lang w:val="en-US" w:eastAsia="zh-CN"/>
        </w:rPr>
        <w:t>’</w:t>
      </w:r>
      <w:r>
        <w:rPr>
          <w:rFonts w:hint="eastAsia"/>
          <w:lang w:val="en-US" w:eastAsia="zh-CN"/>
        </w:rPr>
        <w:t xml:space="preserve"> is an uplink slot, the HARQ-ACK associated for SPS PDSCH with a periodicity of 1 slot can only be in one uplink slot. That means current HARQ-ACK timing mechanism is no longer feasible. </w:t>
      </w:r>
    </w:p>
    <w:p>
      <w:pPr>
        <w:widowControl w:val="0"/>
        <w:numPr>
          <w:ilvl w:val="0"/>
          <w:numId w:val="6"/>
        </w:numPr>
        <w:ind w:left="840"/>
        <w:rPr>
          <w:lang w:val="en-US" w:eastAsia="zh-CN"/>
        </w:rPr>
      </w:pPr>
      <w:r>
        <w:rPr>
          <w:rFonts w:hint="eastAsia"/>
          <w:lang w:val="en-US" w:eastAsia="zh-CN"/>
        </w:rPr>
        <w:t xml:space="preserve">Option 1: Still indicate one </w:t>
      </w:r>
      <w:r>
        <w:rPr>
          <w:rFonts w:hint="eastAsia"/>
          <w:i/>
          <w:iCs/>
          <w:lang w:val="en-US" w:eastAsia="zh-CN"/>
        </w:rPr>
        <w:t>k</w:t>
      </w:r>
      <w:r>
        <w:rPr>
          <w:rFonts w:hint="eastAsia"/>
          <w:lang w:val="en-US" w:eastAsia="zh-CN"/>
        </w:rPr>
        <w:t xml:space="preserve"> value, if the indicated </w:t>
      </w:r>
      <w:r>
        <w:rPr>
          <w:rFonts w:hint="eastAsia"/>
          <w:i/>
          <w:iCs/>
          <w:lang w:val="en-US" w:eastAsia="zh-CN"/>
        </w:rPr>
        <w:t>n+k</w:t>
      </w:r>
      <w:r>
        <w:rPr>
          <w:rFonts w:hint="eastAsia"/>
          <w:lang w:val="en-US" w:eastAsia="zh-CN"/>
        </w:rPr>
        <w:t xml:space="preserve"> is an DL slot, it will defer to the first available uplink slot.</w:t>
      </w:r>
    </w:p>
    <w:p>
      <w:pPr>
        <w:widowControl w:val="0"/>
        <w:numPr>
          <w:ilvl w:val="0"/>
          <w:numId w:val="6"/>
        </w:numPr>
        <w:ind w:left="840"/>
        <w:rPr>
          <w:lang w:val="en-US" w:eastAsia="zh-CN"/>
        </w:rPr>
      </w:pPr>
      <w:r>
        <w:rPr>
          <w:rFonts w:hint="eastAsia"/>
          <w:lang w:val="en-US" w:eastAsia="zh-CN"/>
        </w:rPr>
        <w:t>Option 2: indicate the</w:t>
      </w:r>
      <w:r>
        <w:rPr>
          <w:rFonts w:hint="eastAsia"/>
          <w:i/>
          <w:iCs/>
          <w:lang w:val="en-US" w:eastAsia="zh-CN"/>
        </w:rPr>
        <w:t xml:space="preserve"> k</w:t>
      </w:r>
      <w:r>
        <w:rPr>
          <w:rFonts w:hint="eastAsia"/>
          <w:lang w:val="en-US" w:eastAsia="zh-CN"/>
        </w:rPr>
        <w:t xml:space="preserve"> value for each SPS transmission in a period. </w:t>
      </w:r>
    </w:p>
    <w:p>
      <w:pPr>
        <w:rPr>
          <w:lang w:val="en-US" w:eastAsia="zh-CN"/>
        </w:rPr>
      </w:pPr>
      <w:r>
        <w:rPr>
          <w:rFonts w:hint="eastAsia"/>
          <w:lang w:val="en-US" w:eastAsia="zh-CN"/>
        </w:rPr>
        <w:t xml:space="preserve">There could be two options as given above. Option 1 is simple while it may incur imbalanced HARQ-ACK feedback, which is detrimental to PUCCH reliability for URLLC. On the other hand, Option 2 is more flexible and the HARQ-ACK timing value </w:t>
      </w:r>
      <w:r>
        <w:rPr>
          <w:rFonts w:hint="eastAsia"/>
          <w:i/>
          <w:iCs/>
          <w:lang w:val="en-US" w:eastAsia="zh-CN"/>
        </w:rPr>
        <w:t>k</w:t>
      </w:r>
      <w:r>
        <w:rPr>
          <w:rFonts w:hint="eastAsia"/>
          <w:lang w:val="en-US" w:eastAsia="zh-CN"/>
        </w:rPr>
        <w:t xml:space="preserve"> can be configured properly according to the SPS configuration and </w:t>
      </w:r>
      <w:r>
        <w:rPr>
          <w:rFonts w:eastAsia="Malgun Gothic"/>
          <w:lang w:eastAsia="ko-KR"/>
        </w:rPr>
        <w:t>DL &amp; UL</w:t>
      </w:r>
      <w:r>
        <w:rPr>
          <w:rFonts w:hint="eastAsia" w:eastAsia="宋体"/>
          <w:lang w:val="en-US" w:eastAsia="zh-CN"/>
        </w:rPr>
        <w:t xml:space="preserve"> </w:t>
      </w:r>
      <w:r>
        <w:rPr>
          <w:rFonts w:hint="eastAsia"/>
          <w:lang w:val="en-US" w:eastAsia="zh-CN"/>
        </w:rPr>
        <w:t xml:space="preserve">slot configuration. In our views, Option 2 is preferred. </w:t>
      </w:r>
    </w:p>
    <w:p>
      <w:pPr>
        <w:spacing w:beforeLines="50" w:after="240"/>
        <w:rPr>
          <w:lang w:val="en-US" w:eastAsia="zh-CN"/>
        </w:rPr>
      </w:pPr>
      <w:r>
        <w:rPr>
          <w:rFonts w:hint="eastAsia" w:eastAsia="宋体"/>
          <w:b/>
          <w:bCs/>
          <w:i/>
          <w:iCs/>
          <w:lang w:val="en-US" w:eastAsia="zh-CN"/>
        </w:rPr>
        <w:t xml:space="preserve">Proposal 4: </w:t>
      </w:r>
      <w:r>
        <w:rPr>
          <w:rFonts w:hint="eastAsia" w:eastAsia="宋体"/>
          <w:i/>
          <w:iCs/>
          <w:lang w:val="en-US" w:eastAsia="zh-CN"/>
        </w:rPr>
        <w:t>I</w:t>
      </w:r>
      <w:r>
        <w:rPr>
          <w:rFonts w:hint="eastAsia"/>
          <w:i/>
          <w:iCs/>
          <w:lang w:val="en-US" w:eastAsia="zh-CN"/>
        </w:rPr>
        <w:t xml:space="preserve">ndicate the HARQ-ACK timing value k for each SPS transmission in a period. </w:t>
      </w:r>
    </w:p>
    <w:p>
      <w:pPr>
        <w:numPr>
          <w:ilvl w:val="0"/>
          <w:numId w:val="4"/>
        </w:numPr>
        <w:rPr>
          <w:b/>
          <w:bCs/>
          <w:lang w:val="en-US" w:eastAsia="zh-CN"/>
        </w:rPr>
      </w:pPr>
      <w:r>
        <w:rPr>
          <w:rFonts w:hint="eastAsia"/>
          <w:b/>
          <w:bCs/>
          <w:lang w:val="en-US" w:eastAsia="zh-CN"/>
        </w:rPr>
        <w:t>Impact 3: Semi-static HARQ-ACK codebook</w:t>
      </w:r>
    </w:p>
    <w:p>
      <w:pPr>
        <w:rPr>
          <w:rFonts w:hint="default"/>
          <w:lang w:val="en-US" w:eastAsia="zh-CN"/>
        </w:rPr>
      </w:pPr>
      <w:r>
        <w:rPr>
          <w:rFonts w:hint="eastAsia"/>
          <w:lang w:val="en-US" w:eastAsia="zh-CN"/>
        </w:rPr>
        <w:t xml:space="preserve">For </w:t>
      </w:r>
      <w:r>
        <w:rPr>
          <w:lang w:val="en-US"/>
        </w:rPr>
        <w:t>semi-static HARQ codebook, HARQ</w:t>
      </w:r>
      <w:r>
        <w:rPr>
          <w:rFonts w:hint="eastAsia" w:eastAsia="宋体"/>
          <w:lang w:val="en-US" w:eastAsia="zh-CN"/>
        </w:rPr>
        <w:t>-</w:t>
      </w:r>
      <w:r>
        <w:rPr>
          <w:lang w:val="en-US"/>
        </w:rPr>
        <w:t>ACK bit</w:t>
      </w:r>
      <w:r>
        <w:rPr>
          <w:rFonts w:hint="eastAsia" w:eastAsia="宋体"/>
          <w:lang w:val="en-US" w:eastAsia="zh-CN"/>
        </w:rPr>
        <w:t>s</w:t>
      </w:r>
      <w:r>
        <w:rPr>
          <w:lang w:val="en-US"/>
        </w:rPr>
        <w:t xml:space="preserve"> in the codebook </w:t>
      </w:r>
      <w:r>
        <w:rPr>
          <w:rFonts w:hint="eastAsia" w:eastAsia="宋体"/>
          <w:lang w:val="en-US" w:eastAsia="zh-CN"/>
        </w:rPr>
        <w:t>a</w:t>
      </w:r>
      <w:r>
        <w:rPr>
          <w:rFonts w:hint="eastAsia"/>
          <w:lang w:val="en-US" w:eastAsia="zh-CN"/>
        </w:rPr>
        <w:t xml:space="preserve">re based on the configured </w:t>
      </w:r>
      <w:r>
        <w:rPr>
          <w:lang w:val="en-US"/>
        </w:rPr>
        <w:t>TDRA</w:t>
      </w:r>
      <w:r>
        <w:rPr>
          <w:rFonts w:hint="eastAsia"/>
          <w:lang w:val="en-US" w:eastAsia="zh-CN"/>
        </w:rPr>
        <w:t xml:space="preserve">. Given the minimum periodicity of SPS is no less than 1 slot, the SLIV for SPS PDSCH could be one out of the TDRA table. In our views, Rel-15 rules can be reused by </w:t>
      </w:r>
      <w:r>
        <w:rPr>
          <w:rFonts w:hint="eastAsia" w:eastAsia="宋体"/>
          <w:sz w:val="20"/>
          <w:szCs w:val="20"/>
          <w:lang w:val="en-US" w:eastAsia="zh-CN"/>
        </w:rPr>
        <w:t xml:space="preserve">appending one bit for each SPS reception in the </w:t>
      </w:r>
      <w:r>
        <w:rPr>
          <w:lang w:val="en-US"/>
        </w:rPr>
        <w:t>HARQ</w:t>
      </w:r>
      <w:r>
        <w:rPr>
          <w:rFonts w:hint="eastAsia" w:eastAsia="宋体"/>
          <w:lang w:val="en-US" w:eastAsia="zh-CN"/>
        </w:rPr>
        <w:t>-</w:t>
      </w:r>
      <w:r>
        <w:rPr>
          <w:lang w:val="en-US"/>
        </w:rPr>
        <w:t>ACK</w:t>
      </w:r>
      <w:r>
        <w:rPr>
          <w:rFonts w:hint="eastAsia" w:eastAsia="宋体"/>
          <w:sz w:val="20"/>
          <w:szCs w:val="20"/>
          <w:lang w:val="en-US" w:eastAsia="zh-CN"/>
        </w:rPr>
        <w:t>codebook.</w:t>
      </w:r>
      <w:r>
        <w:rPr>
          <w:rFonts w:hint="eastAsia"/>
          <w:lang w:val="en-US" w:eastAsia="zh-CN"/>
        </w:rPr>
        <w:t xml:space="preserve"> </w:t>
      </w:r>
    </w:p>
    <w:p>
      <w:pPr>
        <w:spacing w:beforeLines="50" w:after="240"/>
        <w:rPr>
          <w:i/>
          <w:iCs/>
          <w:lang w:val="en-US" w:eastAsia="zh-CN"/>
        </w:rPr>
      </w:pPr>
      <w:r>
        <w:rPr>
          <w:rFonts w:hint="eastAsia" w:eastAsia="宋体"/>
          <w:b/>
          <w:bCs/>
          <w:i/>
          <w:iCs/>
          <w:lang w:val="en-US" w:eastAsia="zh-CN"/>
        </w:rPr>
        <w:t xml:space="preserve">Proposal 5: </w:t>
      </w:r>
      <w:r>
        <w:rPr>
          <w:rFonts w:hint="eastAsia" w:eastAsia="宋体"/>
          <w:i/>
          <w:iCs/>
          <w:lang w:val="en-US" w:eastAsia="zh-CN"/>
        </w:rPr>
        <w:t xml:space="preserve">For semi-static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w:t>
      </w:r>
    </w:p>
    <w:p>
      <w:pPr>
        <w:numPr>
          <w:ilvl w:val="0"/>
          <w:numId w:val="4"/>
        </w:numPr>
        <w:rPr>
          <w:b/>
          <w:bCs/>
          <w:lang w:val="en-US" w:eastAsia="zh-CN"/>
        </w:rPr>
      </w:pPr>
      <w:r>
        <w:rPr>
          <w:rFonts w:hint="eastAsia"/>
          <w:b/>
          <w:bCs/>
          <w:lang w:val="en-US" w:eastAsia="zh-CN"/>
        </w:rPr>
        <w:t>Impact 4: Dynamic HARQ-ACK codebook</w:t>
      </w:r>
    </w:p>
    <w:p>
      <w:pPr>
        <w:rPr>
          <w:rFonts w:hint="default"/>
          <w:sz w:val="20"/>
          <w:szCs w:val="20"/>
          <w:lang w:val="en-US" w:eastAsia="zh-CN"/>
        </w:rPr>
      </w:pPr>
      <w:r>
        <w:rPr>
          <w:rFonts w:hint="eastAsia" w:eastAsia="宋体"/>
          <w:sz w:val="20"/>
          <w:szCs w:val="20"/>
          <w:lang w:val="en-US" w:eastAsia="zh-CN"/>
        </w:rPr>
        <w:t xml:space="preserve">For dynamic HARQ codebook, there is only one HARQ-ACK bit for SPS PDSCH reception is appended in the end of codebook in Rel-15. It is straightforward to reuse the same mechanism when SPS periodicity is reduced, i.e., </w:t>
      </w:r>
      <w:r>
        <w:rPr>
          <w:rFonts w:hint="eastAsia"/>
          <w:sz w:val="20"/>
          <w:szCs w:val="20"/>
          <w:lang w:val="en-US" w:eastAsia="zh-CN"/>
        </w:rPr>
        <w:t xml:space="preserve">dynamic HARQ codebook is constructed with one bit corresponding to each SPS PDSCH </w:t>
      </w:r>
      <w:r>
        <w:rPr>
          <w:rFonts w:hint="eastAsia" w:eastAsia="宋体"/>
          <w:sz w:val="20"/>
          <w:szCs w:val="20"/>
          <w:lang w:val="en-US" w:eastAsia="zh-CN"/>
        </w:rPr>
        <w:t>reception</w:t>
      </w:r>
      <w:r>
        <w:rPr>
          <w:rFonts w:hint="eastAsia"/>
          <w:sz w:val="20"/>
          <w:szCs w:val="20"/>
          <w:lang w:val="en-US" w:eastAsia="zh-CN"/>
        </w:rPr>
        <w:t>, and appended in the end of codebook. For HARQ-ACK for PDSCH with DCI or SPS PDSCH release, the bit order is based on the DAI.</w:t>
      </w:r>
    </w:p>
    <w:p>
      <w:pPr>
        <w:spacing w:beforeLines="50" w:after="240"/>
        <w:rPr>
          <w:i/>
          <w:iCs/>
          <w:sz w:val="20"/>
          <w:szCs w:val="20"/>
          <w:lang w:val="en-US" w:eastAsia="zh-CN"/>
        </w:rPr>
      </w:pPr>
      <w:r>
        <w:rPr>
          <w:rFonts w:hint="eastAsia" w:eastAsia="宋体"/>
          <w:b/>
          <w:bCs/>
          <w:i/>
          <w:iCs/>
          <w:sz w:val="20"/>
          <w:szCs w:val="20"/>
          <w:lang w:val="en-US" w:eastAsia="zh-CN"/>
        </w:rPr>
        <w:t xml:space="preserve">Proposal 6: </w:t>
      </w:r>
      <w:r>
        <w:rPr>
          <w:rFonts w:hint="eastAsia" w:eastAsia="宋体"/>
          <w:i/>
          <w:iCs/>
          <w:sz w:val="20"/>
          <w:szCs w:val="20"/>
          <w:lang w:val="en-US" w:eastAsia="zh-CN"/>
        </w:rPr>
        <w:t xml:space="preserve">For dynamic-static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w:t>
      </w:r>
    </w:p>
    <w:p>
      <w:pPr>
        <w:pStyle w:val="2"/>
        <w:spacing w:beforeLines="0" w:afterLines="50"/>
        <w:rPr>
          <w:highlight w:val="none"/>
        </w:rPr>
      </w:pP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hint="eastAsia" w:eastAsia="宋体"/>
          <w:highlight w:val="none"/>
          <w:lang w:val="en-US" w:eastAsia="zh-CN"/>
        </w:rPr>
      </w:pPr>
      <w:r>
        <w:rPr>
          <w:rFonts w:hint="eastAsia"/>
          <w:b/>
          <w:bCs/>
          <w:i/>
          <w:iCs/>
          <w:szCs w:val="20"/>
          <w:lang w:val="en-US" w:eastAsia="zh-CN"/>
        </w:rPr>
        <w:t>Observation 1:</w:t>
      </w:r>
      <w:r>
        <w:rPr>
          <w:rFonts w:hint="eastAsia"/>
          <w:i/>
          <w:iCs/>
          <w:szCs w:val="20"/>
          <w:lang w:val="en-US" w:eastAsia="zh-CN"/>
        </w:rPr>
        <w:t xml:space="preserve"> The number of HARQ-ACK bits for SPS PDSCH could be relatively large, e.g., 128 bits depending on the SCS, number of SPS configuration and TDD configuration. </w:t>
      </w:r>
    </w:p>
    <w:p>
      <w:pPr>
        <w:rPr>
          <w:rFonts w:ascii="Times New Roman" w:hAnsi="Times New Roman"/>
          <w:i/>
          <w:iCs/>
          <w:szCs w:val="20"/>
          <w:lang w:val="en-US" w:eastAsia="zh-CN"/>
        </w:rPr>
      </w:pPr>
      <w:r>
        <w:rPr>
          <w:rFonts w:hint="eastAsia" w:eastAsia="宋体"/>
          <w:b/>
          <w:bCs/>
          <w:i/>
          <w:iCs/>
          <w:lang w:val="en-US" w:eastAsia="zh-CN"/>
        </w:rPr>
        <w:t>Proposal 1:</w:t>
      </w:r>
      <w:r>
        <w:rPr>
          <w:rFonts w:hint="eastAsia" w:eastAsia="宋体"/>
          <w:i/>
          <w:iCs/>
          <w:lang w:val="en-US" w:eastAsia="zh-CN"/>
        </w:rPr>
        <w:t xml:space="preserve"> S</w:t>
      </w:r>
      <w:r>
        <w:rPr>
          <w:rFonts w:hint="eastAsia" w:eastAsia="宋体"/>
          <w:i/>
          <w:iCs/>
          <w:sz w:val="21"/>
          <w:szCs w:val="22"/>
          <w:lang w:val="en-US" w:eastAsia="zh-CN"/>
        </w:rPr>
        <w:t xml:space="preserve">upport </w:t>
      </w:r>
      <w:r>
        <w:rPr>
          <w:rFonts w:hint="eastAsia"/>
          <w:i/>
          <w:iCs/>
          <w:lang w:val="en-US" w:eastAsia="zh-CN"/>
        </w:rPr>
        <w:t>all PUCCH formats f</w:t>
      </w:r>
      <w:r>
        <w:rPr>
          <w:rFonts w:ascii="Times New Roman" w:hAnsi="Times New Roman"/>
          <w:i/>
          <w:iCs/>
          <w:szCs w:val="20"/>
          <w:lang w:eastAsia="zh-CN"/>
        </w:rPr>
        <w:t>or SPS PDSCH without an associated grant in a PUCCH resource</w:t>
      </w:r>
      <w:r>
        <w:rPr>
          <w:rFonts w:hint="eastAsia"/>
          <w:i/>
          <w:iCs/>
          <w:szCs w:val="20"/>
          <w:lang w:val="en-US" w:eastAsia="zh-CN"/>
        </w:rPr>
        <w:t xml:space="preserve">. </w:t>
      </w:r>
    </w:p>
    <w:p>
      <w:pPr>
        <w:rPr>
          <w:rFonts w:hint="eastAsia"/>
          <w:i/>
          <w:iCs/>
          <w:lang w:val="en-US" w:eastAsia="zh-CN"/>
        </w:rPr>
      </w:pPr>
      <w:r>
        <w:rPr>
          <w:rFonts w:hint="eastAsia" w:eastAsia="宋体"/>
          <w:b/>
          <w:bCs/>
          <w:i/>
          <w:iCs/>
          <w:lang w:val="en-US" w:eastAsia="zh-CN"/>
        </w:rPr>
        <w:t xml:space="preserve">Proposal 2: </w:t>
      </w:r>
      <w:r>
        <w:rPr>
          <w:rFonts w:hint="eastAsia"/>
          <w:i/>
          <w:iCs/>
          <w:lang w:val="en-US" w:eastAsia="zh-CN"/>
        </w:rPr>
        <w:t>In case separate PUCCH resource configuration is supported for multiple SPS configurations, the PUCCH resource is derived from the last SPS PDSCH reception or the configuration with high priority.</w:t>
      </w:r>
    </w:p>
    <w:p>
      <w:pPr>
        <w:rPr>
          <w:rFonts w:hint="eastAsia"/>
          <w:i/>
          <w:iCs/>
          <w:lang w:val="en-US" w:eastAsia="zh-CN"/>
        </w:rPr>
      </w:pPr>
      <w:r>
        <w:rPr>
          <w:rFonts w:hint="eastAsia" w:eastAsia="宋体"/>
          <w:b/>
          <w:bCs/>
          <w:i/>
          <w:iCs/>
          <w:lang w:val="en-US" w:eastAsia="zh-CN"/>
        </w:rPr>
        <w:t>Proposal 3:</w:t>
      </w:r>
      <w:r>
        <w:rPr>
          <w:rFonts w:hint="eastAsia" w:eastAsia="宋体"/>
          <w:i/>
          <w:iCs/>
          <w:lang w:val="en-US" w:eastAsia="zh-CN"/>
        </w:rPr>
        <w:t xml:space="preserve"> Support at least 2</w:t>
      </w:r>
      <w:r>
        <w:rPr>
          <w:rFonts w:hint="eastAsia"/>
          <w:i/>
          <w:iCs/>
          <w:lang w:val="en-US" w:eastAsia="zh-CN"/>
        </w:rPr>
        <w:t xml:space="preserve"> PUCCH resources for SPS PDSCH, one for up to 2 bits and one or more for more than 2 bits.</w:t>
      </w:r>
    </w:p>
    <w:p>
      <w:pPr>
        <w:spacing w:beforeLines="50" w:after="240"/>
        <w:rPr>
          <w:lang w:val="en-US" w:eastAsia="zh-CN"/>
        </w:rPr>
      </w:pPr>
      <w:r>
        <w:rPr>
          <w:rFonts w:hint="eastAsia" w:eastAsia="宋体"/>
          <w:b/>
          <w:bCs/>
          <w:i/>
          <w:iCs/>
          <w:lang w:val="en-US" w:eastAsia="zh-CN"/>
        </w:rPr>
        <w:t xml:space="preserve">Proposal 4: </w:t>
      </w:r>
      <w:r>
        <w:rPr>
          <w:rFonts w:hint="eastAsia" w:eastAsia="宋体"/>
          <w:i/>
          <w:iCs/>
          <w:lang w:val="en-US" w:eastAsia="zh-CN"/>
        </w:rPr>
        <w:t>I</w:t>
      </w:r>
      <w:r>
        <w:rPr>
          <w:rFonts w:hint="eastAsia"/>
          <w:i/>
          <w:iCs/>
          <w:lang w:val="en-US" w:eastAsia="zh-CN"/>
        </w:rPr>
        <w:t xml:space="preserve">ndicate the HARQ-ACK timing value k for each SPS transmission in a period. </w:t>
      </w:r>
    </w:p>
    <w:p>
      <w:pPr>
        <w:rPr>
          <w:rFonts w:hint="eastAsia" w:eastAsia="宋体"/>
          <w:i/>
          <w:iCs/>
          <w:sz w:val="20"/>
          <w:szCs w:val="20"/>
          <w:lang w:val="en-US" w:eastAsia="zh-CN"/>
        </w:rPr>
      </w:pPr>
      <w:r>
        <w:rPr>
          <w:rFonts w:hint="eastAsia" w:eastAsia="宋体"/>
          <w:b/>
          <w:bCs/>
          <w:i/>
          <w:iCs/>
          <w:lang w:val="en-US" w:eastAsia="zh-CN"/>
        </w:rPr>
        <w:t xml:space="preserve">Proposal 5: </w:t>
      </w:r>
      <w:r>
        <w:rPr>
          <w:rFonts w:hint="eastAsia" w:eastAsia="宋体"/>
          <w:i/>
          <w:iCs/>
          <w:lang w:val="en-US" w:eastAsia="zh-CN"/>
        </w:rPr>
        <w:t xml:space="preserve">For semi-static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w:t>
      </w:r>
    </w:p>
    <w:p>
      <w:pPr>
        <w:spacing w:beforeLines="50" w:after="240"/>
        <w:rPr>
          <w:rFonts w:hint="eastAsia" w:eastAsia="宋体"/>
          <w:i/>
          <w:iCs/>
          <w:sz w:val="20"/>
          <w:szCs w:val="20"/>
          <w:lang w:val="en-US" w:eastAsia="zh-CN"/>
        </w:rPr>
      </w:pPr>
      <w:r>
        <w:rPr>
          <w:rFonts w:hint="eastAsia" w:eastAsia="宋体"/>
          <w:b/>
          <w:bCs/>
          <w:i/>
          <w:iCs/>
          <w:sz w:val="20"/>
          <w:szCs w:val="20"/>
          <w:lang w:val="en-US" w:eastAsia="zh-CN"/>
        </w:rPr>
        <w:t xml:space="preserve">Proposal 6: </w:t>
      </w:r>
      <w:r>
        <w:rPr>
          <w:rFonts w:hint="eastAsia" w:eastAsia="宋体"/>
          <w:i/>
          <w:iCs/>
          <w:sz w:val="20"/>
          <w:szCs w:val="20"/>
          <w:lang w:val="en-US" w:eastAsia="zh-CN"/>
        </w:rPr>
        <w:t xml:space="preserve">For dynamic-static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w:t>
      </w:r>
    </w:p>
    <w:p>
      <w:pPr>
        <w:pStyle w:val="2"/>
        <w:spacing w:beforeLines="0" w:afterLines="50"/>
      </w:pPr>
      <w:r>
        <w:rPr>
          <w:rFonts w:hint="eastAsia"/>
        </w:rPr>
        <w:t>Reference</w:t>
      </w:r>
    </w:p>
    <w:p>
      <w:pPr>
        <w:pStyle w:val="113"/>
        <w:rPr>
          <w:rFonts w:hint="default"/>
          <w:sz w:val="20"/>
          <w:szCs w:val="20"/>
          <w:lang w:val="en-US" w:eastAsia="zh-CN"/>
        </w:rPr>
      </w:pPr>
      <w:bookmarkStart w:id="1" w:name="_Ref427157992"/>
      <w:r>
        <w:rPr>
          <w:rFonts w:hint="default"/>
          <w:sz w:val="20"/>
          <w:szCs w:val="20"/>
          <w:lang w:val="en-US" w:eastAsia="zh-CN"/>
        </w:rPr>
        <w:t>3GPP RAN1 #98</w:t>
      </w:r>
      <w:r>
        <w:rPr>
          <w:rFonts w:hint="eastAsia"/>
          <w:sz w:val="20"/>
          <w:szCs w:val="20"/>
          <w:lang w:val="en-US" w:eastAsia="zh-CN"/>
        </w:rPr>
        <w:t>bis</w:t>
      </w:r>
      <w:r>
        <w:rPr>
          <w:rFonts w:hint="default"/>
          <w:sz w:val="20"/>
          <w:szCs w:val="20"/>
          <w:lang w:val="en-US" w:eastAsia="zh-CN"/>
        </w:rPr>
        <w:t>, R1-1910101</w:t>
      </w:r>
      <w:bookmarkStart w:id="2" w:name="OLE_LINK23"/>
      <w:r>
        <w:rPr>
          <w:rFonts w:hint="default"/>
          <w:sz w:val="20"/>
          <w:szCs w:val="20"/>
          <w:lang w:val="en-US" w:eastAsia="zh-CN"/>
        </w:rPr>
        <w:t>, UL control enhancements for NR URLLC</w:t>
      </w:r>
      <w:bookmarkEnd w:id="2"/>
      <w:r>
        <w:rPr>
          <w:rFonts w:hint="default"/>
          <w:sz w:val="20"/>
          <w:szCs w:val="20"/>
          <w:lang w:val="en-US" w:eastAsia="zh-CN"/>
        </w:rPr>
        <w:t>, ZTE</w:t>
      </w:r>
    </w:p>
    <w:p>
      <w:pPr>
        <w:pStyle w:val="113"/>
        <w:rPr>
          <w:rFonts w:hint="default"/>
          <w:sz w:val="20"/>
          <w:szCs w:val="20"/>
          <w:lang w:val="en-US" w:eastAsia="zh-CN"/>
        </w:rPr>
      </w:pPr>
      <w:r>
        <w:rPr>
          <w:rFonts w:hint="default"/>
          <w:sz w:val="20"/>
          <w:szCs w:val="20"/>
          <w:lang w:val="en-US" w:eastAsia="zh-CN"/>
        </w:rPr>
        <w:t>3GPP RAN1 #98</w:t>
      </w:r>
      <w:r>
        <w:rPr>
          <w:rFonts w:hint="eastAsia"/>
          <w:sz w:val="20"/>
          <w:szCs w:val="20"/>
          <w:lang w:val="en-US" w:eastAsia="zh-CN"/>
        </w:rPr>
        <w:t>bis</w:t>
      </w:r>
      <w:r>
        <w:rPr>
          <w:rFonts w:hint="default"/>
          <w:sz w:val="20"/>
          <w:szCs w:val="20"/>
          <w:lang w:val="en-US" w:eastAsia="zh-CN"/>
        </w:rPr>
        <w:t>, R1-191010</w:t>
      </w:r>
      <w:r>
        <w:rPr>
          <w:rFonts w:hint="eastAsia"/>
          <w:sz w:val="20"/>
          <w:szCs w:val="20"/>
          <w:lang w:val="en-US" w:eastAsia="zh-CN"/>
        </w:rPr>
        <w:t>5</w:t>
      </w:r>
      <w:r>
        <w:rPr>
          <w:rFonts w:hint="default"/>
          <w:sz w:val="20"/>
          <w:szCs w:val="20"/>
          <w:lang w:val="en-US" w:eastAsia="zh-CN"/>
        </w:rPr>
        <w:t>, Enhancements for UL configured grant transmission, ZTE</w:t>
      </w:r>
    </w:p>
    <w:p>
      <w:pPr>
        <w:pStyle w:val="113"/>
        <w:rPr>
          <w:rFonts w:ascii="Times New Roman" w:hAnsi="Times New Roman"/>
          <w:sz w:val="20"/>
          <w:szCs w:val="20"/>
          <w:lang w:val="en-US" w:eastAsia="zh-CN"/>
        </w:rPr>
      </w:pPr>
      <w:r>
        <w:rPr>
          <w:rFonts w:hint="default" w:ascii="Times New Roman" w:hAnsi="Times New Roman"/>
          <w:sz w:val="20"/>
          <w:szCs w:val="20"/>
          <w:lang w:val="en-US" w:eastAsia="zh-CN"/>
        </w:rPr>
        <w:t>3GPP, RAN1#9</w:t>
      </w:r>
      <w:r>
        <w:rPr>
          <w:rFonts w:hint="eastAsia"/>
          <w:sz w:val="20"/>
          <w:szCs w:val="20"/>
          <w:lang w:val="en-US" w:eastAsia="zh-CN"/>
        </w:rPr>
        <w:t>8</w:t>
      </w:r>
      <w:r>
        <w:rPr>
          <w:rFonts w:hint="default" w:ascii="Times New Roman" w:hAnsi="Times New Roman"/>
          <w:sz w:val="20"/>
          <w:szCs w:val="20"/>
          <w:lang w:val="en-US" w:eastAsia="zh-CN"/>
        </w:rPr>
        <w:t>, Chairman notes.</w:t>
      </w:r>
    </w:p>
    <w:p>
      <w:pPr>
        <w:pStyle w:val="113"/>
        <w:jc w:val="both"/>
        <w:rPr>
          <w:rFonts w:hint="eastAsia" w:eastAsia="Times New Roman"/>
          <w:sz w:val="20"/>
          <w:szCs w:val="20"/>
          <w:lang w:val="en-US" w:eastAsia="zh-CN"/>
        </w:rPr>
      </w:pPr>
      <w:r>
        <w:rPr>
          <w:rFonts w:hint="default"/>
          <w:sz w:val="20"/>
          <w:szCs w:val="20"/>
          <w:lang w:val="en-US" w:eastAsia="zh-CN"/>
        </w:rPr>
        <w:t>3GPP RAN1 #98</w:t>
      </w:r>
      <w:r>
        <w:rPr>
          <w:rFonts w:hint="eastAsia"/>
          <w:sz w:val="20"/>
          <w:szCs w:val="20"/>
          <w:lang w:val="en-US" w:eastAsia="zh-CN"/>
        </w:rPr>
        <w:t>bis</w:t>
      </w:r>
      <w:r>
        <w:rPr>
          <w:rFonts w:hint="default"/>
          <w:sz w:val="20"/>
          <w:szCs w:val="20"/>
          <w:lang w:val="en-US" w:eastAsia="zh-CN"/>
        </w:rPr>
        <w:t>, R1-1908241, Other enhancements for Rel-16 URLLC, ZTE</w:t>
      </w:r>
      <w:bookmarkEnd w:id="1"/>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 PAGE   \* MERGEFORMAT </w:instrText>
    </w:r>
    <w:r>
      <w:fldChar w:fldCharType="separate"/>
    </w:r>
    <w:r>
      <w:rPr>
        <w:lang w:val="en-US" w:eastAsia="zh-CN"/>
      </w:rPr>
      <w:t>13</w:t>
    </w:r>
    <w:r>
      <w:rPr>
        <w:lang w:val="en-US" w:eastAsia="zh-CN"/>
      </w:rPr>
      <w:fldChar w:fldCharType="end"/>
    </w:r>
  </w:p>
  <w:p>
    <w:pPr>
      <w:pStyle w:val="24"/>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3929E"/>
    <w:multiLevelType w:val="singleLevel"/>
    <w:tmpl w:val="8C33929E"/>
    <w:lvl w:ilvl="0" w:tentative="0">
      <w:start w:val="1"/>
      <w:numFmt w:val="bullet"/>
      <w:lvlText w:val=""/>
      <w:lvlJc w:val="left"/>
      <w:pPr>
        <w:ind w:left="420" w:hanging="420"/>
      </w:pPr>
      <w:rPr>
        <w:rFonts w:hint="default" w:ascii="Wingdings" w:hAnsi="Wingdings"/>
      </w:rPr>
    </w:lvl>
  </w:abstractNum>
  <w:abstractNum w:abstractNumId="1">
    <w:nsid w:val="987A75E8"/>
    <w:multiLevelType w:val="singleLevel"/>
    <w:tmpl w:val="987A75E8"/>
    <w:lvl w:ilvl="0" w:tentative="0">
      <w:start w:val="1"/>
      <w:numFmt w:val="bullet"/>
      <w:lvlText w:val=""/>
      <w:lvlJc w:val="left"/>
      <w:pPr>
        <w:ind w:left="420" w:hanging="420"/>
      </w:pPr>
      <w:rPr>
        <w:rFonts w:hint="default" w:ascii="Wingdings" w:hAnsi="Wingdings"/>
      </w:rPr>
    </w:lvl>
  </w:abstractNum>
  <w:abstractNum w:abstractNumId="2">
    <w:nsid w:val="D7991CEA"/>
    <w:multiLevelType w:val="multilevel"/>
    <w:tmpl w:val="D7991C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algun Gothic" w:hAnsi="Malgun Gothic"/>
      </w:rPr>
    </w:lvl>
    <w:lvl w:ilvl="2" w:tentative="0">
      <w:start w:val="1"/>
      <w:numFmt w:val="bullet"/>
      <w:lvlText w:val=""/>
      <w:lvlJc w:val="left"/>
      <w:pPr>
        <w:tabs>
          <w:tab w:val="left" w:pos="1260"/>
        </w:tabs>
        <w:ind w:left="1260" w:hanging="420"/>
      </w:pPr>
      <w:rPr>
        <w:rFonts w:hint="default" w:ascii="Malgun Gothic" w:hAnsi="Malgun Gothic"/>
      </w:rPr>
    </w:lvl>
    <w:lvl w:ilvl="3" w:tentative="0">
      <w:start w:val="1"/>
      <w:numFmt w:val="bullet"/>
      <w:lvlText w:val=""/>
      <w:lvlJc w:val="left"/>
      <w:pPr>
        <w:tabs>
          <w:tab w:val="left" w:pos="1680"/>
        </w:tabs>
        <w:ind w:left="1680" w:hanging="420"/>
      </w:pPr>
      <w:rPr>
        <w:rFonts w:hint="default" w:ascii="Malgun Gothic" w:hAnsi="Malgun Gothic"/>
      </w:rPr>
    </w:lvl>
    <w:lvl w:ilvl="4" w:tentative="0">
      <w:start w:val="1"/>
      <w:numFmt w:val="bullet"/>
      <w:lvlText w:val=""/>
      <w:lvlJc w:val="left"/>
      <w:pPr>
        <w:tabs>
          <w:tab w:val="left" w:pos="2100"/>
        </w:tabs>
        <w:ind w:left="2100" w:hanging="420"/>
      </w:pPr>
      <w:rPr>
        <w:rFonts w:hint="default" w:ascii="Malgun Gothic" w:hAnsi="Malgun Gothic"/>
      </w:rPr>
    </w:lvl>
    <w:lvl w:ilvl="5" w:tentative="0">
      <w:start w:val="1"/>
      <w:numFmt w:val="bullet"/>
      <w:lvlText w:val=""/>
      <w:lvlJc w:val="left"/>
      <w:pPr>
        <w:tabs>
          <w:tab w:val="left" w:pos="2520"/>
        </w:tabs>
        <w:ind w:left="2520" w:hanging="420"/>
      </w:pPr>
      <w:rPr>
        <w:rFonts w:hint="default" w:ascii="Malgun Gothic" w:hAnsi="Malgun Gothic"/>
      </w:rPr>
    </w:lvl>
    <w:lvl w:ilvl="6" w:tentative="0">
      <w:start w:val="1"/>
      <w:numFmt w:val="bullet"/>
      <w:lvlText w:val=""/>
      <w:lvlJc w:val="left"/>
      <w:pPr>
        <w:tabs>
          <w:tab w:val="left" w:pos="2940"/>
        </w:tabs>
        <w:ind w:left="2940" w:hanging="420"/>
      </w:pPr>
      <w:rPr>
        <w:rFonts w:hint="default" w:ascii="Malgun Gothic" w:hAnsi="Malgun Gothic"/>
      </w:rPr>
    </w:lvl>
    <w:lvl w:ilvl="7" w:tentative="0">
      <w:start w:val="1"/>
      <w:numFmt w:val="bullet"/>
      <w:lvlText w:val=""/>
      <w:lvlJc w:val="left"/>
      <w:pPr>
        <w:tabs>
          <w:tab w:val="left" w:pos="3360"/>
        </w:tabs>
        <w:ind w:left="3360" w:hanging="420"/>
      </w:pPr>
      <w:rPr>
        <w:rFonts w:hint="default" w:ascii="Malgun Gothic" w:hAnsi="Malgun Gothic"/>
      </w:rPr>
    </w:lvl>
    <w:lvl w:ilvl="8" w:tentative="0">
      <w:start w:val="1"/>
      <w:numFmt w:val="bullet"/>
      <w:lvlText w:val=""/>
      <w:lvlJc w:val="left"/>
      <w:pPr>
        <w:tabs>
          <w:tab w:val="left" w:pos="3780"/>
        </w:tabs>
        <w:ind w:left="3780" w:hanging="420"/>
      </w:pPr>
      <w:rPr>
        <w:rFonts w:hint="default" w:ascii="Malgun Gothic" w:hAnsi="Malgun Gothic"/>
      </w:rPr>
    </w:lvl>
  </w:abstractNum>
  <w:abstractNum w:abstractNumId="3">
    <w:nsid w:val="3A877D64"/>
    <w:multiLevelType w:val="singleLevel"/>
    <w:tmpl w:val="3A877D64"/>
    <w:lvl w:ilvl="0" w:tentative="0">
      <w:start w:val="1"/>
      <w:numFmt w:val="decimal"/>
      <w:pStyle w:val="113"/>
      <w:lvlText w:val="[%1]"/>
      <w:lvlJc w:val="left"/>
      <w:pPr>
        <w:tabs>
          <w:tab w:val="left" w:pos="360"/>
        </w:tabs>
        <w:ind w:left="360" w:hanging="360"/>
      </w:p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70146DC0"/>
    <w:multiLevelType w:val="multilevel"/>
    <w:tmpl w:val="70146DC0"/>
    <w:lvl w:ilvl="0" w:tentative="0">
      <w:start w:val="1"/>
      <w:numFmt w:val="bullet"/>
      <w:pStyle w:val="119"/>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1AF"/>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4EA"/>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913"/>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5B5"/>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43D"/>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5F6B"/>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3E7A"/>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6C"/>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876"/>
    <w:rsid w:val="003D4B95"/>
    <w:rsid w:val="003D4DF3"/>
    <w:rsid w:val="003D5221"/>
    <w:rsid w:val="003D53A6"/>
    <w:rsid w:val="003D566A"/>
    <w:rsid w:val="003D5A67"/>
    <w:rsid w:val="003D5D75"/>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149"/>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4A"/>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14"/>
    <w:rsid w:val="00517C9D"/>
    <w:rsid w:val="00517EB3"/>
    <w:rsid w:val="00517F5B"/>
    <w:rsid w:val="0052002B"/>
    <w:rsid w:val="00520182"/>
    <w:rsid w:val="00520983"/>
    <w:rsid w:val="00520DD7"/>
    <w:rsid w:val="0052177B"/>
    <w:rsid w:val="005217CF"/>
    <w:rsid w:val="005226D4"/>
    <w:rsid w:val="00522754"/>
    <w:rsid w:val="005231D3"/>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2A"/>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840"/>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78"/>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27C02"/>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B1F"/>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A1D"/>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42B"/>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B3C"/>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6BB"/>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628"/>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132"/>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37B6D"/>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6C"/>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1BC9"/>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13"/>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33D"/>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918"/>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969"/>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E96"/>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16A"/>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5A2"/>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1F0AD5"/>
    <w:rsid w:val="01417F46"/>
    <w:rsid w:val="014B5D9D"/>
    <w:rsid w:val="01623DF4"/>
    <w:rsid w:val="018C4E10"/>
    <w:rsid w:val="01D74516"/>
    <w:rsid w:val="01E376C5"/>
    <w:rsid w:val="01F00465"/>
    <w:rsid w:val="01F93655"/>
    <w:rsid w:val="02364732"/>
    <w:rsid w:val="024541E2"/>
    <w:rsid w:val="02580498"/>
    <w:rsid w:val="02605DD8"/>
    <w:rsid w:val="02627890"/>
    <w:rsid w:val="028A4D94"/>
    <w:rsid w:val="02A67FEB"/>
    <w:rsid w:val="02C27538"/>
    <w:rsid w:val="02CB42F3"/>
    <w:rsid w:val="02D95A87"/>
    <w:rsid w:val="02DD08EC"/>
    <w:rsid w:val="02E7148B"/>
    <w:rsid w:val="02EB1A31"/>
    <w:rsid w:val="0306050F"/>
    <w:rsid w:val="0311359D"/>
    <w:rsid w:val="033A2E6B"/>
    <w:rsid w:val="034D5AD2"/>
    <w:rsid w:val="036C6E43"/>
    <w:rsid w:val="036E3564"/>
    <w:rsid w:val="038C4161"/>
    <w:rsid w:val="038D105B"/>
    <w:rsid w:val="03A537FD"/>
    <w:rsid w:val="03B73C22"/>
    <w:rsid w:val="03B7433D"/>
    <w:rsid w:val="03C85365"/>
    <w:rsid w:val="03D171A7"/>
    <w:rsid w:val="03DB4E49"/>
    <w:rsid w:val="03DE7512"/>
    <w:rsid w:val="040E4833"/>
    <w:rsid w:val="04141FB8"/>
    <w:rsid w:val="042F1002"/>
    <w:rsid w:val="04447C19"/>
    <w:rsid w:val="0469222B"/>
    <w:rsid w:val="04853680"/>
    <w:rsid w:val="049744D5"/>
    <w:rsid w:val="04B85375"/>
    <w:rsid w:val="04E954F9"/>
    <w:rsid w:val="05364164"/>
    <w:rsid w:val="056803CC"/>
    <w:rsid w:val="056E5D03"/>
    <w:rsid w:val="0570723B"/>
    <w:rsid w:val="058542D4"/>
    <w:rsid w:val="05AF7FD4"/>
    <w:rsid w:val="05F01E9C"/>
    <w:rsid w:val="060600E4"/>
    <w:rsid w:val="061727EC"/>
    <w:rsid w:val="061864E1"/>
    <w:rsid w:val="061B1DCE"/>
    <w:rsid w:val="065E3339"/>
    <w:rsid w:val="0690732E"/>
    <w:rsid w:val="06964D90"/>
    <w:rsid w:val="06D767B9"/>
    <w:rsid w:val="074D233A"/>
    <w:rsid w:val="077F3D20"/>
    <w:rsid w:val="07811C6E"/>
    <w:rsid w:val="07812CC6"/>
    <w:rsid w:val="07AA5731"/>
    <w:rsid w:val="07AE5552"/>
    <w:rsid w:val="07C460E5"/>
    <w:rsid w:val="07D659B6"/>
    <w:rsid w:val="07D715B0"/>
    <w:rsid w:val="07E07F23"/>
    <w:rsid w:val="08121FA5"/>
    <w:rsid w:val="081656F0"/>
    <w:rsid w:val="08204311"/>
    <w:rsid w:val="08402E48"/>
    <w:rsid w:val="08436133"/>
    <w:rsid w:val="084D4171"/>
    <w:rsid w:val="086B53B3"/>
    <w:rsid w:val="08B30835"/>
    <w:rsid w:val="08CF6944"/>
    <w:rsid w:val="08FA2142"/>
    <w:rsid w:val="08FD7163"/>
    <w:rsid w:val="09516C7B"/>
    <w:rsid w:val="09A64982"/>
    <w:rsid w:val="09CA74D8"/>
    <w:rsid w:val="09E057CA"/>
    <w:rsid w:val="09F069C9"/>
    <w:rsid w:val="09F62FE7"/>
    <w:rsid w:val="0A085DE9"/>
    <w:rsid w:val="0A1039CB"/>
    <w:rsid w:val="0A130914"/>
    <w:rsid w:val="0A284254"/>
    <w:rsid w:val="0A56214E"/>
    <w:rsid w:val="0A587780"/>
    <w:rsid w:val="0A5A0CCD"/>
    <w:rsid w:val="0A5E0EA1"/>
    <w:rsid w:val="0A687A19"/>
    <w:rsid w:val="0A99506A"/>
    <w:rsid w:val="0AB57DF1"/>
    <w:rsid w:val="0AEB7E16"/>
    <w:rsid w:val="0B17287A"/>
    <w:rsid w:val="0B1E4124"/>
    <w:rsid w:val="0B2009B0"/>
    <w:rsid w:val="0B816734"/>
    <w:rsid w:val="0B9E0B65"/>
    <w:rsid w:val="0BB35673"/>
    <w:rsid w:val="0BCB0357"/>
    <w:rsid w:val="0BF71D44"/>
    <w:rsid w:val="0BFD0200"/>
    <w:rsid w:val="0C0D744B"/>
    <w:rsid w:val="0C171831"/>
    <w:rsid w:val="0C29592D"/>
    <w:rsid w:val="0C364FF6"/>
    <w:rsid w:val="0C5079AA"/>
    <w:rsid w:val="0C531658"/>
    <w:rsid w:val="0C591714"/>
    <w:rsid w:val="0C5A5183"/>
    <w:rsid w:val="0C6319F4"/>
    <w:rsid w:val="0CCC39BF"/>
    <w:rsid w:val="0CF70FFC"/>
    <w:rsid w:val="0D217655"/>
    <w:rsid w:val="0D2D25C4"/>
    <w:rsid w:val="0DA9162B"/>
    <w:rsid w:val="0DA945BE"/>
    <w:rsid w:val="0DCA4966"/>
    <w:rsid w:val="0DCB1A41"/>
    <w:rsid w:val="0DED3021"/>
    <w:rsid w:val="0DF57CAB"/>
    <w:rsid w:val="0DF76BBE"/>
    <w:rsid w:val="0E4004C4"/>
    <w:rsid w:val="0E477126"/>
    <w:rsid w:val="0E605432"/>
    <w:rsid w:val="0E6552CD"/>
    <w:rsid w:val="0E7273F9"/>
    <w:rsid w:val="0E9D5127"/>
    <w:rsid w:val="0EA54449"/>
    <w:rsid w:val="0EBE79F1"/>
    <w:rsid w:val="0F09332A"/>
    <w:rsid w:val="0F0E0560"/>
    <w:rsid w:val="0F2135FB"/>
    <w:rsid w:val="0FD41D74"/>
    <w:rsid w:val="0FD60E0E"/>
    <w:rsid w:val="0FDB71CE"/>
    <w:rsid w:val="0FE353A5"/>
    <w:rsid w:val="100A1755"/>
    <w:rsid w:val="105D13C1"/>
    <w:rsid w:val="10B14313"/>
    <w:rsid w:val="10B776CF"/>
    <w:rsid w:val="10DB0B79"/>
    <w:rsid w:val="10DD0200"/>
    <w:rsid w:val="10E3136C"/>
    <w:rsid w:val="10E9119E"/>
    <w:rsid w:val="1136212B"/>
    <w:rsid w:val="114617FE"/>
    <w:rsid w:val="117441B4"/>
    <w:rsid w:val="11835746"/>
    <w:rsid w:val="11C56239"/>
    <w:rsid w:val="11D972EE"/>
    <w:rsid w:val="11DF4BC9"/>
    <w:rsid w:val="12085A58"/>
    <w:rsid w:val="120879CA"/>
    <w:rsid w:val="12155A83"/>
    <w:rsid w:val="123922F2"/>
    <w:rsid w:val="12645850"/>
    <w:rsid w:val="126E7AEF"/>
    <w:rsid w:val="126F7DAA"/>
    <w:rsid w:val="12BB6307"/>
    <w:rsid w:val="12EC1E0A"/>
    <w:rsid w:val="132E115C"/>
    <w:rsid w:val="1347637A"/>
    <w:rsid w:val="13580386"/>
    <w:rsid w:val="137C5099"/>
    <w:rsid w:val="13862590"/>
    <w:rsid w:val="13884025"/>
    <w:rsid w:val="13B50BBE"/>
    <w:rsid w:val="13C2367C"/>
    <w:rsid w:val="13C41D25"/>
    <w:rsid w:val="13DC2552"/>
    <w:rsid w:val="13F94A62"/>
    <w:rsid w:val="13FD315F"/>
    <w:rsid w:val="13FF1337"/>
    <w:rsid w:val="14112A54"/>
    <w:rsid w:val="142455C4"/>
    <w:rsid w:val="14323EFF"/>
    <w:rsid w:val="146F1C00"/>
    <w:rsid w:val="14833DFA"/>
    <w:rsid w:val="14CE3346"/>
    <w:rsid w:val="14E36748"/>
    <w:rsid w:val="14EA3291"/>
    <w:rsid w:val="15086754"/>
    <w:rsid w:val="15087035"/>
    <w:rsid w:val="15306F04"/>
    <w:rsid w:val="15440AA4"/>
    <w:rsid w:val="15503B82"/>
    <w:rsid w:val="155F63BD"/>
    <w:rsid w:val="15967360"/>
    <w:rsid w:val="15AB013C"/>
    <w:rsid w:val="15CB01DE"/>
    <w:rsid w:val="15E36279"/>
    <w:rsid w:val="15F81A35"/>
    <w:rsid w:val="16646E50"/>
    <w:rsid w:val="1681384E"/>
    <w:rsid w:val="16A24FA0"/>
    <w:rsid w:val="16C42867"/>
    <w:rsid w:val="16FA4184"/>
    <w:rsid w:val="170C14B3"/>
    <w:rsid w:val="170D740B"/>
    <w:rsid w:val="17433979"/>
    <w:rsid w:val="1768135A"/>
    <w:rsid w:val="17B34E39"/>
    <w:rsid w:val="17C21147"/>
    <w:rsid w:val="17C51AC9"/>
    <w:rsid w:val="17CB4230"/>
    <w:rsid w:val="17DA3CB1"/>
    <w:rsid w:val="17E04D27"/>
    <w:rsid w:val="185D30B6"/>
    <w:rsid w:val="188B2739"/>
    <w:rsid w:val="18B60678"/>
    <w:rsid w:val="18D844AF"/>
    <w:rsid w:val="18E87A5D"/>
    <w:rsid w:val="19080A5A"/>
    <w:rsid w:val="190B0D87"/>
    <w:rsid w:val="195651BA"/>
    <w:rsid w:val="198F45DD"/>
    <w:rsid w:val="199D4E5E"/>
    <w:rsid w:val="199F3B3F"/>
    <w:rsid w:val="19D92200"/>
    <w:rsid w:val="1A0A0B65"/>
    <w:rsid w:val="1A107C4B"/>
    <w:rsid w:val="1AA26902"/>
    <w:rsid w:val="1AA73399"/>
    <w:rsid w:val="1AB00207"/>
    <w:rsid w:val="1ABE7D37"/>
    <w:rsid w:val="1AC1475C"/>
    <w:rsid w:val="1AFB0C62"/>
    <w:rsid w:val="1B0C0AEB"/>
    <w:rsid w:val="1B1073A7"/>
    <w:rsid w:val="1B1B27AF"/>
    <w:rsid w:val="1B260507"/>
    <w:rsid w:val="1B403D54"/>
    <w:rsid w:val="1B9C1B7E"/>
    <w:rsid w:val="1BBE0B4E"/>
    <w:rsid w:val="1C0E6C08"/>
    <w:rsid w:val="1C114AF8"/>
    <w:rsid w:val="1C215368"/>
    <w:rsid w:val="1C2C2153"/>
    <w:rsid w:val="1C347218"/>
    <w:rsid w:val="1C496310"/>
    <w:rsid w:val="1C4F2D2B"/>
    <w:rsid w:val="1C5639F9"/>
    <w:rsid w:val="1C5D4224"/>
    <w:rsid w:val="1C7A1A02"/>
    <w:rsid w:val="1CA42BA9"/>
    <w:rsid w:val="1CBB51DF"/>
    <w:rsid w:val="1CC63194"/>
    <w:rsid w:val="1CC649DE"/>
    <w:rsid w:val="1CEC20F4"/>
    <w:rsid w:val="1D0E45AE"/>
    <w:rsid w:val="1D1A645D"/>
    <w:rsid w:val="1D406CD1"/>
    <w:rsid w:val="1D815C8A"/>
    <w:rsid w:val="1D9D144B"/>
    <w:rsid w:val="1DA21D15"/>
    <w:rsid w:val="1E15251A"/>
    <w:rsid w:val="1E205216"/>
    <w:rsid w:val="1E221687"/>
    <w:rsid w:val="1E2F6AB6"/>
    <w:rsid w:val="1E6F3B06"/>
    <w:rsid w:val="1E7B2BA0"/>
    <w:rsid w:val="1E844BA6"/>
    <w:rsid w:val="1E8B087E"/>
    <w:rsid w:val="1EA36749"/>
    <w:rsid w:val="1EF06912"/>
    <w:rsid w:val="1EFB1085"/>
    <w:rsid w:val="1EFC1635"/>
    <w:rsid w:val="1F023FE3"/>
    <w:rsid w:val="1F3D2A51"/>
    <w:rsid w:val="1F3E3733"/>
    <w:rsid w:val="1F4633D7"/>
    <w:rsid w:val="1F5E4FF4"/>
    <w:rsid w:val="1F6723E0"/>
    <w:rsid w:val="1F7F1019"/>
    <w:rsid w:val="1F8753AA"/>
    <w:rsid w:val="1F9675F9"/>
    <w:rsid w:val="1FB27655"/>
    <w:rsid w:val="1FBD7732"/>
    <w:rsid w:val="1FE110EA"/>
    <w:rsid w:val="1FEA1845"/>
    <w:rsid w:val="1FF037A6"/>
    <w:rsid w:val="20410913"/>
    <w:rsid w:val="20431F29"/>
    <w:rsid w:val="2045604F"/>
    <w:rsid w:val="204F6BA1"/>
    <w:rsid w:val="20516736"/>
    <w:rsid w:val="205516BE"/>
    <w:rsid w:val="207D64D7"/>
    <w:rsid w:val="208166FD"/>
    <w:rsid w:val="20924364"/>
    <w:rsid w:val="209E0CEA"/>
    <w:rsid w:val="20AE54BD"/>
    <w:rsid w:val="20D83AC2"/>
    <w:rsid w:val="21056ADC"/>
    <w:rsid w:val="216D33DF"/>
    <w:rsid w:val="2174526F"/>
    <w:rsid w:val="21C65751"/>
    <w:rsid w:val="21C65F78"/>
    <w:rsid w:val="21C727FC"/>
    <w:rsid w:val="21E149CA"/>
    <w:rsid w:val="21E23CAE"/>
    <w:rsid w:val="21E367B6"/>
    <w:rsid w:val="21FB2E21"/>
    <w:rsid w:val="224D2EBB"/>
    <w:rsid w:val="22765E0B"/>
    <w:rsid w:val="22A129F3"/>
    <w:rsid w:val="22C64803"/>
    <w:rsid w:val="22CE1F32"/>
    <w:rsid w:val="22FC0047"/>
    <w:rsid w:val="231549FC"/>
    <w:rsid w:val="234B62FA"/>
    <w:rsid w:val="236701B7"/>
    <w:rsid w:val="237960DC"/>
    <w:rsid w:val="23817AC7"/>
    <w:rsid w:val="2396184B"/>
    <w:rsid w:val="23A15217"/>
    <w:rsid w:val="23A51958"/>
    <w:rsid w:val="23AD60D7"/>
    <w:rsid w:val="23BA4644"/>
    <w:rsid w:val="23C12F43"/>
    <w:rsid w:val="241E4D35"/>
    <w:rsid w:val="245743B5"/>
    <w:rsid w:val="247373FE"/>
    <w:rsid w:val="247513E0"/>
    <w:rsid w:val="249173E9"/>
    <w:rsid w:val="24BE622D"/>
    <w:rsid w:val="24CD4542"/>
    <w:rsid w:val="24FF320A"/>
    <w:rsid w:val="251657BB"/>
    <w:rsid w:val="25B81417"/>
    <w:rsid w:val="25BB704A"/>
    <w:rsid w:val="25FE407C"/>
    <w:rsid w:val="26401BD8"/>
    <w:rsid w:val="26434C04"/>
    <w:rsid w:val="264A7883"/>
    <w:rsid w:val="267065FB"/>
    <w:rsid w:val="26894387"/>
    <w:rsid w:val="26A83F4D"/>
    <w:rsid w:val="26AE7FB2"/>
    <w:rsid w:val="26D12498"/>
    <w:rsid w:val="26D4632B"/>
    <w:rsid w:val="26DF0CF8"/>
    <w:rsid w:val="27412078"/>
    <w:rsid w:val="275470A4"/>
    <w:rsid w:val="27B3313C"/>
    <w:rsid w:val="27C719BF"/>
    <w:rsid w:val="27E97755"/>
    <w:rsid w:val="27FB14E9"/>
    <w:rsid w:val="27FD1EEB"/>
    <w:rsid w:val="27FF4502"/>
    <w:rsid w:val="280A1416"/>
    <w:rsid w:val="281668B4"/>
    <w:rsid w:val="28425FD1"/>
    <w:rsid w:val="286354F2"/>
    <w:rsid w:val="28650795"/>
    <w:rsid w:val="28782C39"/>
    <w:rsid w:val="287F07C1"/>
    <w:rsid w:val="28840AAD"/>
    <w:rsid w:val="28845559"/>
    <w:rsid w:val="28904541"/>
    <w:rsid w:val="28954ED3"/>
    <w:rsid w:val="28A72B48"/>
    <w:rsid w:val="28B52071"/>
    <w:rsid w:val="28BB5CB3"/>
    <w:rsid w:val="28D31AE7"/>
    <w:rsid w:val="29064877"/>
    <w:rsid w:val="291C3F42"/>
    <w:rsid w:val="29216FE3"/>
    <w:rsid w:val="292D3D2F"/>
    <w:rsid w:val="29370865"/>
    <w:rsid w:val="294614EC"/>
    <w:rsid w:val="29654FEE"/>
    <w:rsid w:val="29931C39"/>
    <w:rsid w:val="29937C67"/>
    <w:rsid w:val="29C00FC3"/>
    <w:rsid w:val="29C36304"/>
    <w:rsid w:val="2A12193D"/>
    <w:rsid w:val="2A1C742C"/>
    <w:rsid w:val="2A5B025D"/>
    <w:rsid w:val="2A714F67"/>
    <w:rsid w:val="2A851400"/>
    <w:rsid w:val="2ADA009F"/>
    <w:rsid w:val="2AE06BC0"/>
    <w:rsid w:val="2AE33FB8"/>
    <w:rsid w:val="2AEB310F"/>
    <w:rsid w:val="2B0428DA"/>
    <w:rsid w:val="2B09698D"/>
    <w:rsid w:val="2B5C01FD"/>
    <w:rsid w:val="2B7111A7"/>
    <w:rsid w:val="2B9341EB"/>
    <w:rsid w:val="2B9E2D01"/>
    <w:rsid w:val="2BB52FB9"/>
    <w:rsid w:val="2BBD31DA"/>
    <w:rsid w:val="2BC44501"/>
    <w:rsid w:val="2BE0439F"/>
    <w:rsid w:val="2BEC7D02"/>
    <w:rsid w:val="2BF76934"/>
    <w:rsid w:val="2C2A6227"/>
    <w:rsid w:val="2C3459DF"/>
    <w:rsid w:val="2C380D85"/>
    <w:rsid w:val="2C693C27"/>
    <w:rsid w:val="2CB003C8"/>
    <w:rsid w:val="2CF5031E"/>
    <w:rsid w:val="2CF813C3"/>
    <w:rsid w:val="2D093C9F"/>
    <w:rsid w:val="2D1A0E1E"/>
    <w:rsid w:val="2D3B7916"/>
    <w:rsid w:val="2D3C3CD7"/>
    <w:rsid w:val="2D4B4DCC"/>
    <w:rsid w:val="2DA276BE"/>
    <w:rsid w:val="2DA35B4E"/>
    <w:rsid w:val="2DB600C3"/>
    <w:rsid w:val="2DCA3A26"/>
    <w:rsid w:val="2DD36CD1"/>
    <w:rsid w:val="2DE87A40"/>
    <w:rsid w:val="2E173F56"/>
    <w:rsid w:val="2E29079C"/>
    <w:rsid w:val="2E48670E"/>
    <w:rsid w:val="2E6C00D1"/>
    <w:rsid w:val="2E6C5330"/>
    <w:rsid w:val="2E75359D"/>
    <w:rsid w:val="2E9D2F33"/>
    <w:rsid w:val="2EA5491E"/>
    <w:rsid w:val="2ED154DE"/>
    <w:rsid w:val="2ED315FA"/>
    <w:rsid w:val="2EF2578E"/>
    <w:rsid w:val="2F086F58"/>
    <w:rsid w:val="2F341996"/>
    <w:rsid w:val="2F4128D8"/>
    <w:rsid w:val="2FA97745"/>
    <w:rsid w:val="2FAC5FF8"/>
    <w:rsid w:val="2FE333E0"/>
    <w:rsid w:val="30367EDF"/>
    <w:rsid w:val="304A4945"/>
    <w:rsid w:val="3058440F"/>
    <w:rsid w:val="308909B3"/>
    <w:rsid w:val="30B64E45"/>
    <w:rsid w:val="30C1634B"/>
    <w:rsid w:val="30D01C69"/>
    <w:rsid w:val="30EC4B0C"/>
    <w:rsid w:val="30ED594E"/>
    <w:rsid w:val="30F53179"/>
    <w:rsid w:val="310307CA"/>
    <w:rsid w:val="310C33C4"/>
    <w:rsid w:val="311F777C"/>
    <w:rsid w:val="3129011E"/>
    <w:rsid w:val="312C0CAE"/>
    <w:rsid w:val="315B0AD4"/>
    <w:rsid w:val="31655F17"/>
    <w:rsid w:val="316F4E06"/>
    <w:rsid w:val="31A506BA"/>
    <w:rsid w:val="31AE1AFE"/>
    <w:rsid w:val="31BC417F"/>
    <w:rsid w:val="31EC6730"/>
    <w:rsid w:val="32035324"/>
    <w:rsid w:val="320A36C1"/>
    <w:rsid w:val="322915EE"/>
    <w:rsid w:val="32354210"/>
    <w:rsid w:val="323B2411"/>
    <w:rsid w:val="323D35EB"/>
    <w:rsid w:val="3259367F"/>
    <w:rsid w:val="32606F60"/>
    <w:rsid w:val="326E6892"/>
    <w:rsid w:val="327C2DDA"/>
    <w:rsid w:val="32835DE3"/>
    <w:rsid w:val="32DC04F7"/>
    <w:rsid w:val="32EC5D4C"/>
    <w:rsid w:val="33587B79"/>
    <w:rsid w:val="3374391F"/>
    <w:rsid w:val="33774D25"/>
    <w:rsid w:val="33916233"/>
    <w:rsid w:val="33965837"/>
    <w:rsid w:val="33AA50E6"/>
    <w:rsid w:val="33B13D72"/>
    <w:rsid w:val="33B43DDB"/>
    <w:rsid w:val="33BE1C24"/>
    <w:rsid w:val="33C662A1"/>
    <w:rsid w:val="33D35BC8"/>
    <w:rsid w:val="341D3E0C"/>
    <w:rsid w:val="34443420"/>
    <w:rsid w:val="34561EE4"/>
    <w:rsid w:val="348C273F"/>
    <w:rsid w:val="34942631"/>
    <w:rsid w:val="349A72DD"/>
    <w:rsid w:val="34A47250"/>
    <w:rsid w:val="34C31F31"/>
    <w:rsid w:val="3522430E"/>
    <w:rsid w:val="352E0F08"/>
    <w:rsid w:val="354B6D1C"/>
    <w:rsid w:val="35A21866"/>
    <w:rsid w:val="35DE6C72"/>
    <w:rsid w:val="35E00E13"/>
    <w:rsid w:val="35E92E32"/>
    <w:rsid w:val="35EF6B7D"/>
    <w:rsid w:val="35F2379E"/>
    <w:rsid w:val="35F43BC7"/>
    <w:rsid w:val="35F72C7E"/>
    <w:rsid w:val="35FF1ADE"/>
    <w:rsid w:val="360258DD"/>
    <w:rsid w:val="361A4245"/>
    <w:rsid w:val="364241D2"/>
    <w:rsid w:val="3643680D"/>
    <w:rsid w:val="365E6D3E"/>
    <w:rsid w:val="366C1501"/>
    <w:rsid w:val="36A4320C"/>
    <w:rsid w:val="36D53214"/>
    <w:rsid w:val="36DF437C"/>
    <w:rsid w:val="36E771D1"/>
    <w:rsid w:val="37160A40"/>
    <w:rsid w:val="37255346"/>
    <w:rsid w:val="372B16AC"/>
    <w:rsid w:val="37570566"/>
    <w:rsid w:val="37854D6C"/>
    <w:rsid w:val="378B58C5"/>
    <w:rsid w:val="378D3916"/>
    <w:rsid w:val="37A83436"/>
    <w:rsid w:val="37B72410"/>
    <w:rsid w:val="37BB26A1"/>
    <w:rsid w:val="37E272A3"/>
    <w:rsid w:val="37F95AB0"/>
    <w:rsid w:val="382D3B92"/>
    <w:rsid w:val="38307A89"/>
    <w:rsid w:val="38AD2A2D"/>
    <w:rsid w:val="38B8671D"/>
    <w:rsid w:val="38BE1513"/>
    <w:rsid w:val="38D830AC"/>
    <w:rsid w:val="38E60986"/>
    <w:rsid w:val="38F42BEE"/>
    <w:rsid w:val="38FC0D9E"/>
    <w:rsid w:val="38FD1938"/>
    <w:rsid w:val="39011B8F"/>
    <w:rsid w:val="39235473"/>
    <w:rsid w:val="39315B32"/>
    <w:rsid w:val="39483619"/>
    <w:rsid w:val="39566A7D"/>
    <w:rsid w:val="39645429"/>
    <w:rsid w:val="398F207C"/>
    <w:rsid w:val="39AA4064"/>
    <w:rsid w:val="39BA4B2C"/>
    <w:rsid w:val="39E542CC"/>
    <w:rsid w:val="3A117C2E"/>
    <w:rsid w:val="3A2071EB"/>
    <w:rsid w:val="3A347336"/>
    <w:rsid w:val="3A6D38A3"/>
    <w:rsid w:val="3A7D46D4"/>
    <w:rsid w:val="3A9E48B4"/>
    <w:rsid w:val="3AB6196D"/>
    <w:rsid w:val="3B0555C5"/>
    <w:rsid w:val="3B0C3BD9"/>
    <w:rsid w:val="3B233B40"/>
    <w:rsid w:val="3B3165C4"/>
    <w:rsid w:val="3B6B0E42"/>
    <w:rsid w:val="3B8B4B46"/>
    <w:rsid w:val="3BA44C6F"/>
    <w:rsid w:val="3BA52CAC"/>
    <w:rsid w:val="3BA751CD"/>
    <w:rsid w:val="3BD33F0E"/>
    <w:rsid w:val="3BE15BDA"/>
    <w:rsid w:val="3C2B3C97"/>
    <w:rsid w:val="3C3D72C4"/>
    <w:rsid w:val="3C4F404E"/>
    <w:rsid w:val="3C512A11"/>
    <w:rsid w:val="3C8730DE"/>
    <w:rsid w:val="3C8B2C9C"/>
    <w:rsid w:val="3C8F1008"/>
    <w:rsid w:val="3C983BA7"/>
    <w:rsid w:val="3CA712CF"/>
    <w:rsid w:val="3CB357B6"/>
    <w:rsid w:val="3CB4157F"/>
    <w:rsid w:val="3CC5214A"/>
    <w:rsid w:val="3CD33016"/>
    <w:rsid w:val="3CF401F8"/>
    <w:rsid w:val="3D0172FC"/>
    <w:rsid w:val="3D18140B"/>
    <w:rsid w:val="3D423221"/>
    <w:rsid w:val="3D86013A"/>
    <w:rsid w:val="3D8F09F2"/>
    <w:rsid w:val="3D933D73"/>
    <w:rsid w:val="3DA42C42"/>
    <w:rsid w:val="3DAD6357"/>
    <w:rsid w:val="3DB81771"/>
    <w:rsid w:val="3DB957C4"/>
    <w:rsid w:val="3DC13DCB"/>
    <w:rsid w:val="3DDB5613"/>
    <w:rsid w:val="3DE32BA0"/>
    <w:rsid w:val="3DE9747B"/>
    <w:rsid w:val="3E0F3B09"/>
    <w:rsid w:val="3E1213A9"/>
    <w:rsid w:val="3E3D434E"/>
    <w:rsid w:val="3ED0759C"/>
    <w:rsid w:val="3EDB5D5F"/>
    <w:rsid w:val="3F0D6E5A"/>
    <w:rsid w:val="3F296006"/>
    <w:rsid w:val="3F2A4F31"/>
    <w:rsid w:val="3F334234"/>
    <w:rsid w:val="3F477CE6"/>
    <w:rsid w:val="3F6F7129"/>
    <w:rsid w:val="3F731EBD"/>
    <w:rsid w:val="3F8D413C"/>
    <w:rsid w:val="3FBF239E"/>
    <w:rsid w:val="3FC7102D"/>
    <w:rsid w:val="3FCA54FF"/>
    <w:rsid w:val="3FCF1BD2"/>
    <w:rsid w:val="3FDB75E6"/>
    <w:rsid w:val="40053AEF"/>
    <w:rsid w:val="4016426F"/>
    <w:rsid w:val="405A5EA8"/>
    <w:rsid w:val="406B2D42"/>
    <w:rsid w:val="406F7959"/>
    <w:rsid w:val="4084317D"/>
    <w:rsid w:val="409A55D6"/>
    <w:rsid w:val="40B1111B"/>
    <w:rsid w:val="40C8546D"/>
    <w:rsid w:val="40E83FEB"/>
    <w:rsid w:val="41245CF6"/>
    <w:rsid w:val="41294E92"/>
    <w:rsid w:val="413E410C"/>
    <w:rsid w:val="41451745"/>
    <w:rsid w:val="417F1F57"/>
    <w:rsid w:val="419068A2"/>
    <w:rsid w:val="4192041B"/>
    <w:rsid w:val="41A50E7A"/>
    <w:rsid w:val="41BD02EC"/>
    <w:rsid w:val="41D3372D"/>
    <w:rsid w:val="41DC494B"/>
    <w:rsid w:val="41F264BC"/>
    <w:rsid w:val="41FB01B5"/>
    <w:rsid w:val="42185649"/>
    <w:rsid w:val="42313309"/>
    <w:rsid w:val="424B0F62"/>
    <w:rsid w:val="424E280C"/>
    <w:rsid w:val="427939F6"/>
    <w:rsid w:val="428201C1"/>
    <w:rsid w:val="42910D65"/>
    <w:rsid w:val="42931552"/>
    <w:rsid w:val="429E3367"/>
    <w:rsid w:val="431E2EB4"/>
    <w:rsid w:val="43390308"/>
    <w:rsid w:val="439D11D5"/>
    <w:rsid w:val="43A632D7"/>
    <w:rsid w:val="43B579A6"/>
    <w:rsid w:val="43B70849"/>
    <w:rsid w:val="43BE3E7E"/>
    <w:rsid w:val="43D21251"/>
    <w:rsid w:val="43E85CAF"/>
    <w:rsid w:val="43E90CC7"/>
    <w:rsid w:val="43F15ABD"/>
    <w:rsid w:val="43FC7EC1"/>
    <w:rsid w:val="44335380"/>
    <w:rsid w:val="443505A1"/>
    <w:rsid w:val="4462219F"/>
    <w:rsid w:val="44691C85"/>
    <w:rsid w:val="448A70CD"/>
    <w:rsid w:val="449A5AE6"/>
    <w:rsid w:val="44C21817"/>
    <w:rsid w:val="44D33582"/>
    <w:rsid w:val="455344CF"/>
    <w:rsid w:val="45C40087"/>
    <w:rsid w:val="46114315"/>
    <w:rsid w:val="46261E01"/>
    <w:rsid w:val="463150DD"/>
    <w:rsid w:val="463400A4"/>
    <w:rsid w:val="464F4194"/>
    <w:rsid w:val="468E7879"/>
    <w:rsid w:val="46924A41"/>
    <w:rsid w:val="469E1D39"/>
    <w:rsid w:val="46A27788"/>
    <w:rsid w:val="46AD6449"/>
    <w:rsid w:val="46CD27B0"/>
    <w:rsid w:val="46DA6E35"/>
    <w:rsid w:val="46E52D55"/>
    <w:rsid w:val="47037839"/>
    <w:rsid w:val="470A789B"/>
    <w:rsid w:val="47182446"/>
    <w:rsid w:val="474015D1"/>
    <w:rsid w:val="47BF2FE6"/>
    <w:rsid w:val="482800B2"/>
    <w:rsid w:val="48363D2A"/>
    <w:rsid w:val="485978EB"/>
    <w:rsid w:val="48633BB8"/>
    <w:rsid w:val="487D7356"/>
    <w:rsid w:val="489B4382"/>
    <w:rsid w:val="498440C7"/>
    <w:rsid w:val="49AD07BA"/>
    <w:rsid w:val="4A2328EA"/>
    <w:rsid w:val="4A5F77F4"/>
    <w:rsid w:val="4A692356"/>
    <w:rsid w:val="4AA5779F"/>
    <w:rsid w:val="4ADB3001"/>
    <w:rsid w:val="4B0A7ACA"/>
    <w:rsid w:val="4B1701F7"/>
    <w:rsid w:val="4B341871"/>
    <w:rsid w:val="4B505BF7"/>
    <w:rsid w:val="4B573495"/>
    <w:rsid w:val="4B5A3F42"/>
    <w:rsid w:val="4B801B9C"/>
    <w:rsid w:val="4B9745FD"/>
    <w:rsid w:val="4BCB580F"/>
    <w:rsid w:val="4BD923A6"/>
    <w:rsid w:val="4BDE3CC8"/>
    <w:rsid w:val="4BDF40A9"/>
    <w:rsid w:val="4BE61521"/>
    <w:rsid w:val="4C02716A"/>
    <w:rsid w:val="4C1D24E0"/>
    <w:rsid w:val="4C2653D5"/>
    <w:rsid w:val="4C3505BB"/>
    <w:rsid w:val="4C8A0BDC"/>
    <w:rsid w:val="4CEC1D54"/>
    <w:rsid w:val="4D064DC8"/>
    <w:rsid w:val="4D347ED8"/>
    <w:rsid w:val="4D4C1002"/>
    <w:rsid w:val="4D65479E"/>
    <w:rsid w:val="4D6F1420"/>
    <w:rsid w:val="4D716000"/>
    <w:rsid w:val="4D774226"/>
    <w:rsid w:val="4D865FEB"/>
    <w:rsid w:val="4DB760B3"/>
    <w:rsid w:val="4DDD373A"/>
    <w:rsid w:val="4DDE0A26"/>
    <w:rsid w:val="4DE93845"/>
    <w:rsid w:val="4DF7667D"/>
    <w:rsid w:val="4DF77C60"/>
    <w:rsid w:val="4E040ABB"/>
    <w:rsid w:val="4E136C2C"/>
    <w:rsid w:val="4E524D51"/>
    <w:rsid w:val="4E6F7948"/>
    <w:rsid w:val="4E7B36E9"/>
    <w:rsid w:val="4EA254E3"/>
    <w:rsid w:val="4EB139DC"/>
    <w:rsid w:val="4ED4056B"/>
    <w:rsid w:val="4EE771E5"/>
    <w:rsid w:val="4F1D371F"/>
    <w:rsid w:val="4F3B31A2"/>
    <w:rsid w:val="4F4B57AF"/>
    <w:rsid w:val="4F572D9B"/>
    <w:rsid w:val="4F6836AA"/>
    <w:rsid w:val="4F703A80"/>
    <w:rsid w:val="4F8D46D4"/>
    <w:rsid w:val="4F8F6452"/>
    <w:rsid w:val="4FC37AD4"/>
    <w:rsid w:val="4FC61082"/>
    <w:rsid w:val="50101440"/>
    <w:rsid w:val="501628A8"/>
    <w:rsid w:val="50244784"/>
    <w:rsid w:val="504A3CE7"/>
    <w:rsid w:val="50564DDA"/>
    <w:rsid w:val="50666688"/>
    <w:rsid w:val="50BB4FA1"/>
    <w:rsid w:val="50CD6E67"/>
    <w:rsid w:val="50D85FFE"/>
    <w:rsid w:val="50DA2806"/>
    <w:rsid w:val="50E21BB2"/>
    <w:rsid w:val="50FC4636"/>
    <w:rsid w:val="51513E56"/>
    <w:rsid w:val="515403EF"/>
    <w:rsid w:val="515A1CDE"/>
    <w:rsid w:val="515F5700"/>
    <w:rsid w:val="51650323"/>
    <w:rsid w:val="517C5049"/>
    <w:rsid w:val="51CA227B"/>
    <w:rsid w:val="51CF2FF7"/>
    <w:rsid w:val="51ED7CD0"/>
    <w:rsid w:val="522C75C4"/>
    <w:rsid w:val="523315CA"/>
    <w:rsid w:val="52582D49"/>
    <w:rsid w:val="526651A4"/>
    <w:rsid w:val="526A12AF"/>
    <w:rsid w:val="526C1D2D"/>
    <w:rsid w:val="52FB303E"/>
    <w:rsid w:val="5321588C"/>
    <w:rsid w:val="533E38EB"/>
    <w:rsid w:val="53470060"/>
    <w:rsid w:val="537A528C"/>
    <w:rsid w:val="539463F8"/>
    <w:rsid w:val="53A67647"/>
    <w:rsid w:val="540316A3"/>
    <w:rsid w:val="541E65AA"/>
    <w:rsid w:val="5424586C"/>
    <w:rsid w:val="54377E46"/>
    <w:rsid w:val="546012A3"/>
    <w:rsid w:val="547E77C6"/>
    <w:rsid w:val="54AC7E8C"/>
    <w:rsid w:val="54EF05F7"/>
    <w:rsid w:val="550831C7"/>
    <w:rsid w:val="5510157E"/>
    <w:rsid w:val="553F1DA9"/>
    <w:rsid w:val="554124AE"/>
    <w:rsid w:val="55855731"/>
    <w:rsid w:val="55906DDC"/>
    <w:rsid w:val="55C915A1"/>
    <w:rsid w:val="55DA3793"/>
    <w:rsid w:val="561B16B1"/>
    <w:rsid w:val="56441C00"/>
    <w:rsid w:val="565C5CE0"/>
    <w:rsid w:val="56636EF2"/>
    <w:rsid w:val="56673FF8"/>
    <w:rsid w:val="56882DA7"/>
    <w:rsid w:val="56F41F92"/>
    <w:rsid w:val="57231A5D"/>
    <w:rsid w:val="57346017"/>
    <w:rsid w:val="5741215E"/>
    <w:rsid w:val="576630FD"/>
    <w:rsid w:val="5791781E"/>
    <w:rsid w:val="57960862"/>
    <w:rsid w:val="57BC4C9C"/>
    <w:rsid w:val="57CA25F9"/>
    <w:rsid w:val="57D2683A"/>
    <w:rsid w:val="57D41B1A"/>
    <w:rsid w:val="57DF0946"/>
    <w:rsid w:val="583341E1"/>
    <w:rsid w:val="583B50EA"/>
    <w:rsid w:val="583E160B"/>
    <w:rsid w:val="583F6F46"/>
    <w:rsid w:val="584318D2"/>
    <w:rsid w:val="586312F3"/>
    <w:rsid w:val="589305E9"/>
    <w:rsid w:val="589310E3"/>
    <w:rsid w:val="589A414C"/>
    <w:rsid w:val="58C401AC"/>
    <w:rsid w:val="58D346BF"/>
    <w:rsid w:val="590E7EAD"/>
    <w:rsid w:val="591C7ADE"/>
    <w:rsid w:val="5946216F"/>
    <w:rsid w:val="595F07A3"/>
    <w:rsid w:val="596C4A2A"/>
    <w:rsid w:val="59804F4E"/>
    <w:rsid w:val="59836613"/>
    <w:rsid w:val="5993415C"/>
    <w:rsid w:val="59B97030"/>
    <w:rsid w:val="59C317F2"/>
    <w:rsid w:val="59CB7C78"/>
    <w:rsid w:val="59D20B82"/>
    <w:rsid w:val="59FF6944"/>
    <w:rsid w:val="5A315FC3"/>
    <w:rsid w:val="5A323D34"/>
    <w:rsid w:val="5A9F4265"/>
    <w:rsid w:val="5ABA7995"/>
    <w:rsid w:val="5AC04993"/>
    <w:rsid w:val="5AC703B1"/>
    <w:rsid w:val="5ADB6FB9"/>
    <w:rsid w:val="5AF9052A"/>
    <w:rsid w:val="5B3A1851"/>
    <w:rsid w:val="5BAF2CF5"/>
    <w:rsid w:val="5BB721DA"/>
    <w:rsid w:val="5BC773EA"/>
    <w:rsid w:val="5BCE4377"/>
    <w:rsid w:val="5BD544AE"/>
    <w:rsid w:val="5BE744EF"/>
    <w:rsid w:val="5C11079D"/>
    <w:rsid w:val="5C173C1A"/>
    <w:rsid w:val="5C4A496E"/>
    <w:rsid w:val="5C593289"/>
    <w:rsid w:val="5CA2296A"/>
    <w:rsid w:val="5CA928AE"/>
    <w:rsid w:val="5CCC426D"/>
    <w:rsid w:val="5CD06BFA"/>
    <w:rsid w:val="5CE50C89"/>
    <w:rsid w:val="5CE63B5B"/>
    <w:rsid w:val="5CF365AE"/>
    <w:rsid w:val="5D0513F5"/>
    <w:rsid w:val="5D170CD5"/>
    <w:rsid w:val="5D1A5393"/>
    <w:rsid w:val="5DB21AA5"/>
    <w:rsid w:val="5DB83F72"/>
    <w:rsid w:val="5DD835D2"/>
    <w:rsid w:val="5DE2255B"/>
    <w:rsid w:val="5DF9398D"/>
    <w:rsid w:val="5DFE5F58"/>
    <w:rsid w:val="5E057D10"/>
    <w:rsid w:val="5E095FD6"/>
    <w:rsid w:val="5E181629"/>
    <w:rsid w:val="5E395BAE"/>
    <w:rsid w:val="5E5D258D"/>
    <w:rsid w:val="5E6A724E"/>
    <w:rsid w:val="5E7334C3"/>
    <w:rsid w:val="5E9D2DBC"/>
    <w:rsid w:val="5EA5212B"/>
    <w:rsid w:val="5EA87212"/>
    <w:rsid w:val="5EB51067"/>
    <w:rsid w:val="5ED07993"/>
    <w:rsid w:val="5EE2460F"/>
    <w:rsid w:val="5F1021B2"/>
    <w:rsid w:val="5F1F5FAD"/>
    <w:rsid w:val="5F25133A"/>
    <w:rsid w:val="5F3B0AD6"/>
    <w:rsid w:val="5F3F19E2"/>
    <w:rsid w:val="5F456BB3"/>
    <w:rsid w:val="5F5E36F2"/>
    <w:rsid w:val="5F681BAB"/>
    <w:rsid w:val="5F726C0E"/>
    <w:rsid w:val="5F7A458B"/>
    <w:rsid w:val="5FCE51B0"/>
    <w:rsid w:val="60157BC8"/>
    <w:rsid w:val="60401604"/>
    <w:rsid w:val="6059105F"/>
    <w:rsid w:val="60626619"/>
    <w:rsid w:val="606C4290"/>
    <w:rsid w:val="60851731"/>
    <w:rsid w:val="609C11A3"/>
    <w:rsid w:val="60B10CD4"/>
    <w:rsid w:val="60D00105"/>
    <w:rsid w:val="60E174E9"/>
    <w:rsid w:val="60E75D3C"/>
    <w:rsid w:val="61363717"/>
    <w:rsid w:val="61415E1E"/>
    <w:rsid w:val="616D3845"/>
    <w:rsid w:val="61897E6E"/>
    <w:rsid w:val="61910B11"/>
    <w:rsid w:val="619706BD"/>
    <w:rsid w:val="6197282A"/>
    <w:rsid w:val="61A324CF"/>
    <w:rsid w:val="61CA7F79"/>
    <w:rsid w:val="61FF6957"/>
    <w:rsid w:val="62095C8A"/>
    <w:rsid w:val="620A1CC8"/>
    <w:rsid w:val="626F27C5"/>
    <w:rsid w:val="6274710F"/>
    <w:rsid w:val="6277469F"/>
    <w:rsid w:val="627B1E3C"/>
    <w:rsid w:val="62A26D46"/>
    <w:rsid w:val="62AB5F4C"/>
    <w:rsid w:val="62B266B5"/>
    <w:rsid w:val="62D40767"/>
    <w:rsid w:val="62F52B28"/>
    <w:rsid w:val="633356A8"/>
    <w:rsid w:val="636D17E0"/>
    <w:rsid w:val="6374764F"/>
    <w:rsid w:val="63B00478"/>
    <w:rsid w:val="63B66BA8"/>
    <w:rsid w:val="63E2107C"/>
    <w:rsid w:val="6403179D"/>
    <w:rsid w:val="643108F6"/>
    <w:rsid w:val="6445012A"/>
    <w:rsid w:val="64684F0E"/>
    <w:rsid w:val="647C2C9D"/>
    <w:rsid w:val="648E0E10"/>
    <w:rsid w:val="64C76A7A"/>
    <w:rsid w:val="64CA19AF"/>
    <w:rsid w:val="64F05EEF"/>
    <w:rsid w:val="64F83A87"/>
    <w:rsid w:val="65580EAB"/>
    <w:rsid w:val="6591582E"/>
    <w:rsid w:val="65A241DD"/>
    <w:rsid w:val="65FC1060"/>
    <w:rsid w:val="66004C03"/>
    <w:rsid w:val="662013DD"/>
    <w:rsid w:val="662F3307"/>
    <w:rsid w:val="664E568C"/>
    <w:rsid w:val="665D09A0"/>
    <w:rsid w:val="665D146A"/>
    <w:rsid w:val="66A21594"/>
    <w:rsid w:val="66AA76F2"/>
    <w:rsid w:val="66AE0D55"/>
    <w:rsid w:val="66B7682F"/>
    <w:rsid w:val="66D00537"/>
    <w:rsid w:val="66D3237B"/>
    <w:rsid w:val="670315A6"/>
    <w:rsid w:val="670E2359"/>
    <w:rsid w:val="67166EC5"/>
    <w:rsid w:val="67210094"/>
    <w:rsid w:val="67336828"/>
    <w:rsid w:val="673F1301"/>
    <w:rsid w:val="674F376A"/>
    <w:rsid w:val="67525A81"/>
    <w:rsid w:val="675E1C55"/>
    <w:rsid w:val="676A31F2"/>
    <w:rsid w:val="67EC2A68"/>
    <w:rsid w:val="67FE4DA3"/>
    <w:rsid w:val="68141657"/>
    <w:rsid w:val="68357404"/>
    <w:rsid w:val="683D3F86"/>
    <w:rsid w:val="686167C2"/>
    <w:rsid w:val="68AC5623"/>
    <w:rsid w:val="68B264A0"/>
    <w:rsid w:val="68C107A0"/>
    <w:rsid w:val="68E2188C"/>
    <w:rsid w:val="68E432F2"/>
    <w:rsid w:val="690A6585"/>
    <w:rsid w:val="6910427D"/>
    <w:rsid w:val="692320B4"/>
    <w:rsid w:val="69443B50"/>
    <w:rsid w:val="694B1C79"/>
    <w:rsid w:val="6951732D"/>
    <w:rsid w:val="69545358"/>
    <w:rsid w:val="696C10AC"/>
    <w:rsid w:val="698A76FD"/>
    <w:rsid w:val="69976BCA"/>
    <w:rsid w:val="69A66D44"/>
    <w:rsid w:val="69D31D91"/>
    <w:rsid w:val="69D54202"/>
    <w:rsid w:val="69FF6E88"/>
    <w:rsid w:val="6A345C91"/>
    <w:rsid w:val="6A357288"/>
    <w:rsid w:val="6A5223BB"/>
    <w:rsid w:val="6AB46C93"/>
    <w:rsid w:val="6AD5034D"/>
    <w:rsid w:val="6B294C84"/>
    <w:rsid w:val="6B474827"/>
    <w:rsid w:val="6B7211DE"/>
    <w:rsid w:val="6B9072EE"/>
    <w:rsid w:val="6BAC63E0"/>
    <w:rsid w:val="6BBF64CC"/>
    <w:rsid w:val="6C345516"/>
    <w:rsid w:val="6C5C527E"/>
    <w:rsid w:val="6CA2751B"/>
    <w:rsid w:val="6CCC097C"/>
    <w:rsid w:val="6CCC1C48"/>
    <w:rsid w:val="6CD723CB"/>
    <w:rsid w:val="6CF40EAB"/>
    <w:rsid w:val="6D1839B1"/>
    <w:rsid w:val="6D502980"/>
    <w:rsid w:val="6D775471"/>
    <w:rsid w:val="6DDD0342"/>
    <w:rsid w:val="6DE727F2"/>
    <w:rsid w:val="6DEB7081"/>
    <w:rsid w:val="6E0E62F6"/>
    <w:rsid w:val="6E33758F"/>
    <w:rsid w:val="6E570CD2"/>
    <w:rsid w:val="6E655319"/>
    <w:rsid w:val="6E7115AB"/>
    <w:rsid w:val="6E7777AC"/>
    <w:rsid w:val="6EA32E93"/>
    <w:rsid w:val="6EA93624"/>
    <w:rsid w:val="6ECE201A"/>
    <w:rsid w:val="6EDC3FA1"/>
    <w:rsid w:val="6EE558A8"/>
    <w:rsid w:val="6EFF1936"/>
    <w:rsid w:val="6F0C0585"/>
    <w:rsid w:val="6F1079AE"/>
    <w:rsid w:val="6F182133"/>
    <w:rsid w:val="6F365C81"/>
    <w:rsid w:val="6F452D87"/>
    <w:rsid w:val="6F7B76F7"/>
    <w:rsid w:val="6FC27607"/>
    <w:rsid w:val="6FD02075"/>
    <w:rsid w:val="6FDD4E1B"/>
    <w:rsid w:val="70041402"/>
    <w:rsid w:val="701D287D"/>
    <w:rsid w:val="70322864"/>
    <w:rsid w:val="703B3BFC"/>
    <w:rsid w:val="70456902"/>
    <w:rsid w:val="707F5B9B"/>
    <w:rsid w:val="70942EA5"/>
    <w:rsid w:val="70997CB9"/>
    <w:rsid w:val="709E0A51"/>
    <w:rsid w:val="70BA087B"/>
    <w:rsid w:val="70E9766E"/>
    <w:rsid w:val="70F93270"/>
    <w:rsid w:val="71180010"/>
    <w:rsid w:val="715E244A"/>
    <w:rsid w:val="71685A5B"/>
    <w:rsid w:val="71807699"/>
    <w:rsid w:val="71A11124"/>
    <w:rsid w:val="71A81171"/>
    <w:rsid w:val="71D37DF0"/>
    <w:rsid w:val="71D84E82"/>
    <w:rsid w:val="71EF1AFF"/>
    <w:rsid w:val="72313C64"/>
    <w:rsid w:val="729A2434"/>
    <w:rsid w:val="729D42B4"/>
    <w:rsid w:val="72CC087A"/>
    <w:rsid w:val="72D33F10"/>
    <w:rsid w:val="72D808DC"/>
    <w:rsid w:val="7318400D"/>
    <w:rsid w:val="73797A10"/>
    <w:rsid w:val="739F00D5"/>
    <w:rsid w:val="73A355B8"/>
    <w:rsid w:val="73BD0467"/>
    <w:rsid w:val="7413358A"/>
    <w:rsid w:val="74454732"/>
    <w:rsid w:val="745A09FA"/>
    <w:rsid w:val="748337FF"/>
    <w:rsid w:val="74963132"/>
    <w:rsid w:val="74AB36D1"/>
    <w:rsid w:val="74D72826"/>
    <w:rsid w:val="74E124F8"/>
    <w:rsid w:val="74F21D30"/>
    <w:rsid w:val="750220D2"/>
    <w:rsid w:val="75102A61"/>
    <w:rsid w:val="75245482"/>
    <w:rsid w:val="755066F9"/>
    <w:rsid w:val="755C24F5"/>
    <w:rsid w:val="75666FB1"/>
    <w:rsid w:val="756C4B8F"/>
    <w:rsid w:val="756F685A"/>
    <w:rsid w:val="75707699"/>
    <w:rsid w:val="757C4F73"/>
    <w:rsid w:val="75971F2A"/>
    <w:rsid w:val="75B26173"/>
    <w:rsid w:val="75C13CCD"/>
    <w:rsid w:val="75D655FB"/>
    <w:rsid w:val="75E45270"/>
    <w:rsid w:val="75EC70E1"/>
    <w:rsid w:val="75F47D02"/>
    <w:rsid w:val="75FB40F8"/>
    <w:rsid w:val="76016FA5"/>
    <w:rsid w:val="761927E9"/>
    <w:rsid w:val="76375C3E"/>
    <w:rsid w:val="765D0035"/>
    <w:rsid w:val="76617C75"/>
    <w:rsid w:val="767E34F8"/>
    <w:rsid w:val="7693340C"/>
    <w:rsid w:val="770463F7"/>
    <w:rsid w:val="77200316"/>
    <w:rsid w:val="772E1233"/>
    <w:rsid w:val="77787755"/>
    <w:rsid w:val="77816447"/>
    <w:rsid w:val="77986A6C"/>
    <w:rsid w:val="779F0FD7"/>
    <w:rsid w:val="77AD30A8"/>
    <w:rsid w:val="77BB17DB"/>
    <w:rsid w:val="77C225C3"/>
    <w:rsid w:val="77D902D4"/>
    <w:rsid w:val="77F705F6"/>
    <w:rsid w:val="77FC2AB6"/>
    <w:rsid w:val="784A29E9"/>
    <w:rsid w:val="78A969EB"/>
    <w:rsid w:val="78BB1D4E"/>
    <w:rsid w:val="78C54FC9"/>
    <w:rsid w:val="78C82E18"/>
    <w:rsid w:val="78E17D27"/>
    <w:rsid w:val="78E439FC"/>
    <w:rsid w:val="78FB4529"/>
    <w:rsid w:val="790C3730"/>
    <w:rsid w:val="79100A4F"/>
    <w:rsid w:val="791453EC"/>
    <w:rsid w:val="791C2FC9"/>
    <w:rsid w:val="79330208"/>
    <w:rsid w:val="794021C2"/>
    <w:rsid w:val="796E2DF7"/>
    <w:rsid w:val="79797DD3"/>
    <w:rsid w:val="79B5163A"/>
    <w:rsid w:val="7A072E1B"/>
    <w:rsid w:val="7A0F12E6"/>
    <w:rsid w:val="7A443267"/>
    <w:rsid w:val="7A7A653A"/>
    <w:rsid w:val="7A824C3A"/>
    <w:rsid w:val="7A995079"/>
    <w:rsid w:val="7AB569C6"/>
    <w:rsid w:val="7AB87F4E"/>
    <w:rsid w:val="7AB95A4B"/>
    <w:rsid w:val="7AC56A31"/>
    <w:rsid w:val="7AD756EB"/>
    <w:rsid w:val="7B022868"/>
    <w:rsid w:val="7B14763E"/>
    <w:rsid w:val="7B3103E1"/>
    <w:rsid w:val="7B4A03A0"/>
    <w:rsid w:val="7B5777A7"/>
    <w:rsid w:val="7B7E01AB"/>
    <w:rsid w:val="7BA638DF"/>
    <w:rsid w:val="7BA71B6B"/>
    <w:rsid w:val="7BC7231A"/>
    <w:rsid w:val="7BE26258"/>
    <w:rsid w:val="7BEA7F06"/>
    <w:rsid w:val="7C1576DC"/>
    <w:rsid w:val="7C461BA7"/>
    <w:rsid w:val="7C6B3833"/>
    <w:rsid w:val="7C6F7A0C"/>
    <w:rsid w:val="7C730D95"/>
    <w:rsid w:val="7C811ABB"/>
    <w:rsid w:val="7C8A703A"/>
    <w:rsid w:val="7C966684"/>
    <w:rsid w:val="7CAE04F0"/>
    <w:rsid w:val="7D064E42"/>
    <w:rsid w:val="7D123312"/>
    <w:rsid w:val="7D470FF0"/>
    <w:rsid w:val="7D6E5376"/>
    <w:rsid w:val="7D757F2F"/>
    <w:rsid w:val="7D885D6B"/>
    <w:rsid w:val="7D9E0355"/>
    <w:rsid w:val="7DAE272E"/>
    <w:rsid w:val="7DC51FB6"/>
    <w:rsid w:val="7DE03C2C"/>
    <w:rsid w:val="7DED07E9"/>
    <w:rsid w:val="7DF94EC4"/>
    <w:rsid w:val="7E3C48CF"/>
    <w:rsid w:val="7E43770C"/>
    <w:rsid w:val="7E6B77EA"/>
    <w:rsid w:val="7EC218D0"/>
    <w:rsid w:val="7EF73042"/>
    <w:rsid w:val="7F0021E6"/>
    <w:rsid w:val="7F3044F1"/>
    <w:rsid w:val="7F337095"/>
    <w:rsid w:val="7F397243"/>
    <w:rsid w:val="7F423106"/>
    <w:rsid w:val="7F494F44"/>
    <w:rsid w:val="7F706014"/>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1"/>
    <w:link w:val="106"/>
    <w:qFormat/>
    <w:uiPriority w:val="0"/>
    <w:pPr>
      <w:tabs>
        <w:tab w:val="left" w:pos="576"/>
      </w:tabs>
      <w:spacing w:before="240" w:after="60"/>
      <w:ind w:left="576" w:hanging="576"/>
      <w:outlineLvl w:val="1"/>
    </w:pPr>
    <w:rPr>
      <w:rFonts w:cs="Arial"/>
      <w:b/>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unhideWhenUsed/>
    <w:qFormat/>
    <w:uiPriority w:val="99"/>
    <w:pPr>
      <w:ind w:left="566"/>
    </w:pPr>
  </w:style>
  <w:style w:type="paragraph" w:styleId="14">
    <w:name w:val="List"/>
    <w:basedOn w:val="1"/>
    <w:qFormat/>
    <w:uiPriority w:val="0"/>
    <w:pPr>
      <w:ind w:left="283" w:hanging="283"/>
    </w:pPr>
  </w:style>
  <w:style w:type="paragraph" w:styleId="15">
    <w:name w:val="annotation subject"/>
    <w:basedOn w:val="16"/>
    <w:next w:val="16"/>
    <w:link w:val="59"/>
    <w:unhideWhenUsed/>
    <w:qFormat/>
    <w:uiPriority w:val="99"/>
    <w:rPr>
      <w:b/>
      <w:bCs/>
    </w:rPr>
  </w:style>
  <w:style w:type="paragraph" w:styleId="16">
    <w:name w:val="annotation text"/>
    <w:basedOn w:val="1"/>
    <w:link w:val="46"/>
    <w:unhideWhenUsed/>
    <w:qFormat/>
    <w:uiPriority w:val="0"/>
  </w:style>
  <w:style w:type="paragraph" w:styleId="17">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8">
    <w:name w:val="caption"/>
    <w:basedOn w:val="1"/>
    <w:next w:val="1"/>
    <w:link w:val="40"/>
    <w:qFormat/>
    <w:uiPriority w:val="0"/>
    <w:rPr>
      <w:b/>
      <w:bCs/>
    </w:rPr>
  </w:style>
  <w:style w:type="paragraph" w:styleId="19">
    <w:name w:val="List Bullet"/>
    <w:basedOn w:val="20"/>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20">
    <w:name w:val="Body Text"/>
    <w:basedOn w:val="1"/>
    <w:link w:val="103"/>
    <w:qFormat/>
    <w:uiPriority w:val="0"/>
    <w:pPr>
      <w:overflowPunct/>
      <w:autoSpaceDE/>
      <w:autoSpaceDN/>
      <w:adjustRightInd/>
      <w:textAlignment w:val="auto"/>
    </w:pPr>
    <w:rPr>
      <w:rFonts w:eastAsia="MS Mincho"/>
    </w:rPr>
  </w:style>
  <w:style w:type="paragraph" w:styleId="21">
    <w:name w:val="Document Map"/>
    <w:basedOn w:val="1"/>
    <w:semiHidden/>
    <w:qFormat/>
    <w:uiPriority w:val="0"/>
    <w:pPr>
      <w:shd w:val="clear" w:color="auto" w:fill="000080"/>
    </w:pPr>
    <w:rPr>
      <w:rFonts w:ascii="Tahoma" w:hAnsi="Tahoma" w:cs="Tahoma"/>
    </w:rPr>
  </w:style>
  <w:style w:type="paragraph" w:styleId="22">
    <w:name w:val="Body Text Indent"/>
    <w:basedOn w:val="1"/>
    <w:qFormat/>
    <w:uiPriority w:val="0"/>
    <w:pPr>
      <w:ind w:left="283"/>
    </w:pPr>
  </w:style>
  <w:style w:type="paragraph" w:styleId="23">
    <w:name w:val="Balloon Text"/>
    <w:basedOn w:val="1"/>
    <w:link w:val="39"/>
    <w:unhideWhenUsed/>
    <w:qFormat/>
    <w:uiPriority w:val="99"/>
    <w:pPr>
      <w:spacing w:after="0"/>
    </w:pPr>
    <w:rPr>
      <w:rFonts w:ascii="Tahoma" w:hAnsi="Tahoma" w:cs="Tahoma"/>
      <w:sz w:val="16"/>
      <w:szCs w:val="16"/>
    </w:rPr>
  </w:style>
  <w:style w:type="paragraph" w:styleId="24">
    <w:name w:val="footer"/>
    <w:basedOn w:val="1"/>
    <w:link w:val="60"/>
    <w:unhideWhenUsed/>
    <w:qFormat/>
    <w:uiPriority w:val="99"/>
    <w:pPr>
      <w:tabs>
        <w:tab w:val="center" w:pos="4513"/>
        <w:tab w:val="right" w:pos="9026"/>
      </w:tabs>
    </w:pPr>
  </w:style>
  <w:style w:type="paragraph" w:styleId="25">
    <w:name w:val="header"/>
    <w:basedOn w:val="1"/>
    <w:link w:val="54"/>
    <w:qFormat/>
    <w:uiPriority w:val="0"/>
    <w:pPr>
      <w:widowControl w:val="0"/>
      <w:spacing w:after="200" w:line="276" w:lineRule="auto"/>
    </w:pPr>
    <w:rPr>
      <w:rFonts w:ascii="Arial" w:hAnsi="Arial"/>
      <w:b/>
      <w:sz w:val="18"/>
      <w:lang w:val="en-US"/>
    </w:rPr>
  </w:style>
  <w:style w:type="paragraph" w:styleId="26">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7">
    <w:name w:val="footnote text"/>
    <w:basedOn w:val="1"/>
    <w:unhideWhenUsed/>
    <w:qFormat/>
    <w:uiPriority w:val="99"/>
    <w:pPr>
      <w:jc w:val="left"/>
    </w:pPr>
    <w:rPr>
      <w:sz w:val="18"/>
    </w:rPr>
  </w:style>
  <w:style w:type="paragraph" w:styleId="28">
    <w:name w:val="List 5"/>
    <w:basedOn w:val="29"/>
    <w:qFormat/>
    <w:uiPriority w:val="0"/>
    <w:pPr>
      <w:ind w:left="1702"/>
    </w:pPr>
  </w:style>
  <w:style w:type="paragraph" w:styleId="29">
    <w:name w:val="List 4"/>
    <w:basedOn w:val="12"/>
    <w:qFormat/>
    <w:uiPriority w:val="0"/>
    <w:pPr>
      <w:ind w:left="1418"/>
    </w:pPr>
  </w:style>
  <w:style w:type="paragraph" w:styleId="30">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32">
    <w:name w:val="Strong"/>
    <w:basedOn w:val="31"/>
    <w:qFormat/>
    <w:uiPriority w:val="22"/>
    <w:rPr>
      <w:b/>
      <w:bCs/>
    </w:rPr>
  </w:style>
  <w:style w:type="character" w:styleId="33">
    <w:name w:val="FollowedHyperlink"/>
    <w:basedOn w:val="31"/>
    <w:qFormat/>
    <w:uiPriority w:val="0"/>
    <w:rPr>
      <w:color w:val="800080"/>
      <w:u w:val="single"/>
    </w:rPr>
  </w:style>
  <w:style w:type="character" w:styleId="34">
    <w:name w:val="Hyperlink"/>
    <w:basedOn w:val="31"/>
    <w:unhideWhenUsed/>
    <w:qFormat/>
    <w:uiPriority w:val="99"/>
    <w:rPr>
      <w:color w:val="0000FF"/>
      <w:u w:val="single"/>
    </w:rPr>
  </w:style>
  <w:style w:type="character" w:styleId="35">
    <w:name w:val="annotation reference"/>
    <w:basedOn w:val="31"/>
    <w:unhideWhenUsed/>
    <w:qFormat/>
    <w:uiPriority w:val="0"/>
    <w:rPr>
      <w:sz w:val="16"/>
      <w:szCs w:val="16"/>
    </w:rPr>
  </w:style>
  <w:style w:type="character" w:styleId="36">
    <w:name w:val="footnote reference"/>
    <w:basedOn w:val="31"/>
    <w:unhideWhenUsed/>
    <w:qFormat/>
    <w:uiPriority w:val="99"/>
    <w:rPr>
      <w:vertAlign w:val="superscript"/>
    </w:rPr>
  </w:style>
  <w:style w:type="table" w:styleId="38">
    <w:name w:val="Table Grid"/>
    <w:basedOn w:val="3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批注框文本 Char"/>
    <w:basedOn w:val="31"/>
    <w:link w:val="23"/>
    <w:semiHidden/>
    <w:qFormat/>
    <w:uiPriority w:val="99"/>
    <w:rPr>
      <w:rFonts w:ascii="Tahoma" w:hAnsi="Tahoma" w:eastAsia="Times New Roman" w:cs="Tahoma"/>
      <w:sz w:val="16"/>
      <w:szCs w:val="16"/>
      <w:lang w:val="en-GB"/>
    </w:rPr>
  </w:style>
  <w:style w:type="character" w:customStyle="1" w:styleId="40">
    <w:name w:val="题注 Char"/>
    <w:basedOn w:val="31"/>
    <w:link w:val="18"/>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6"/>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1"/>
    <w:link w:val="25"/>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15"/>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4"/>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1"/>
    <w:link w:val="66"/>
    <w:qFormat/>
    <w:uiPriority w:val="0"/>
    <w:pPr>
      <w:keepNext/>
      <w:keepLines/>
      <w:spacing w:after="0"/>
      <w:jc w:val="center"/>
    </w:pPr>
    <w:rPr>
      <w:rFonts w:ascii="Arial" w:hAnsi="Arial"/>
      <w:b/>
      <w:sz w:val="18"/>
      <w:lang w:eastAsia="ja-JP"/>
    </w:rPr>
  </w:style>
  <w:style w:type="character" w:customStyle="1" w:styleId="68">
    <w:name w:val="msoins"/>
    <w:basedOn w:val="31"/>
    <w:qFormat/>
    <w:uiPriority w:val="0"/>
  </w:style>
  <w:style w:type="character" w:customStyle="1" w:styleId="69">
    <w:name w:val="B2 Char1"/>
    <w:basedOn w:val="46"/>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50"/>
    <w:link w:val="72"/>
    <w:qFormat/>
    <w:uiPriority w:val="0"/>
    <w:rPr>
      <w:rFonts w:ascii="Arial" w:hAnsi="Arial"/>
      <w:sz w:val="18"/>
      <w:lang w:val="en-GB" w:eastAsia="en-GB" w:bidi="ar-SA"/>
    </w:rPr>
  </w:style>
  <w:style w:type="paragraph" w:customStyle="1" w:styleId="72">
    <w:name w:val="TAL + Left:  1"/>
    <w:basedOn w:val="51"/>
    <w:link w:val="71"/>
    <w:qFormat/>
    <w:uiPriority w:val="0"/>
    <w:pPr>
      <w:ind w:left="567"/>
    </w:pPr>
    <w:rPr>
      <w:lang w:eastAsia="en-GB"/>
    </w:rPr>
  </w:style>
  <w:style w:type="character" w:customStyle="1" w:styleId="73">
    <w:name w:val="header odd Char"/>
    <w:basedOn w:val="31"/>
    <w:qFormat/>
    <w:uiPriority w:val="0"/>
    <w:rPr>
      <w:lang w:val="en-GB" w:eastAsia="en-US" w:bidi="ar-SA"/>
    </w:rPr>
  </w:style>
  <w:style w:type="character" w:customStyle="1" w:styleId="74">
    <w:name w:val="B1 Char"/>
    <w:basedOn w:val="31"/>
    <w:qFormat/>
    <w:uiPriority w:val="0"/>
    <w:rPr>
      <w:rFonts w:ascii="Times New Roman" w:hAnsi="Times New Roman"/>
      <w:lang w:val="en-GB" w:eastAsia="en-US"/>
    </w:rPr>
  </w:style>
  <w:style w:type="character" w:customStyle="1" w:styleId="75">
    <w:name w:val="PL Char"/>
    <w:basedOn w:val="31"/>
    <w:link w:val="76"/>
    <w:qFormat/>
    <w:uiPriority w:val="0"/>
    <w:rPr>
      <w:rFonts w:ascii="Courier New" w:hAnsi="Courier New" w:eastAsia="宋体"/>
      <w:sz w:val="16"/>
      <w:lang w:val="en-GB" w:eastAsia="ja-JP"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7">
    <w:name w:val="TAC Char"/>
    <w:link w:val="78"/>
    <w:qFormat/>
    <w:uiPriority w:val="0"/>
    <w:rPr>
      <w:rFonts w:ascii="Arial" w:hAnsi="Arial" w:eastAsia="Times New Roman"/>
      <w:sz w:val="18"/>
      <w:lang w:val="en-GB" w:eastAsia="ja-JP"/>
    </w:rPr>
  </w:style>
  <w:style w:type="paragraph" w:customStyle="1" w:styleId="78">
    <w:name w:val="TAC"/>
    <w:basedOn w:val="51"/>
    <w:link w:val="77"/>
    <w:qFormat/>
    <w:uiPriority w:val="0"/>
    <w:pPr>
      <w:jc w:val="center"/>
    </w:p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20"/>
    <w:qFormat/>
    <w:uiPriority w:val="0"/>
    <w:rPr>
      <w:rFonts w:eastAsia="MS Mincho"/>
      <w:lang w:val="en-GB" w:eastAsia="en-US"/>
    </w:rPr>
  </w:style>
  <w:style w:type="paragraph" w:customStyle="1" w:styleId="104">
    <w:name w:val="列出段落2"/>
    <w:basedOn w:val="1"/>
    <w:qFormat/>
    <w:uiPriority w:val="99"/>
    <w:pPr>
      <w:ind w:firstLine="420" w:firstLineChars="200"/>
    </w:pPr>
  </w:style>
  <w:style w:type="paragraph" w:customStyle="1" w:styleId="105">
    <w:name w:val="列出段落21"/>
    <w:basedOn w:val="1"/>
    <w:semiHidden/>
    <w:qFormat/>
    <w:uiPriority w:val="99"/>
    <w:pPr>
      <w:ind w:firstLine="420" w:firstLineChars="200"/>
    </w:pPr>
  </w:style>
  <w:style w:type="character" w:customStyle="1" w:styleId="106">
    <w:name w:val="标题 2 Char"/>
    <w:basedOn w:val="31"/>
    <w:link w:val="3"/>
    <w:qFormat/>
    <w:uiPriority w:val="0"/>
    <w:rPr>
      <w:rFonts w:ascii="Times New Roman" w:hAnsi="Times New Roman" w:eastAsia="Times New Roman" w:cs="Arial"/>
      <w:b/>
      <w:bCs/>
      <w:iCs/>
      <w:szCs w:val="28"/>
      <w:lang w:eastAsia="en-US"/>
    </w:rPr>
  </w:style>
  <w:style w:type="paragraph" w:customStyle="1" w:styleId="107">
    <w:name w:val="List Paragraph2"/>
    <w:basedOn w:val="1"/>
    <w:unhideWhenUsed/>
    <w:qFormat/>
    <w:uiPriority w:val="99"/>
    <w:pPr>
      <w:ind w:firstLine="420" w:firstLineChars="200"/>
    </w:pPr>
  </w:style>
  <w:style w:type="paragraph" w:styleId="108">
    <w:name w:val="List Paragraph"/>
    <w:basedOn w:val="1"/>
    <w:unhideWhenUsed/>
    <w:qFormat/>
    <w:uiPriority w:val="99"/>
    <w:pPr>
      <w:ind w:left="720"/>
      <w:contextualSpacing/>
    </w:pPr>
  </w:style>
  <w:style w:type="paragraph" w:customStyle="1" w:styleId="109">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10">
    <w:name w:val="Comments"/>
    <w:basedOn w:val="1"/>
    <w:qFormat/>
    <w:uiPriority w:val="0"/>
    <w:pPr>
      <w:spacing w:before="40"/>
    </w:pPr>
    <w:rPr>
      <w:rFonts w:ascii="Arial" w:hAnsi="Arial" w:eastAsia="MS Mincho"/>
      <w:i/>
      <w:sz w:val="18"/>
      <w:lang w:eastAsia="en-GB"/>
    </w:rPr>
  </w:style>
  <w:style w:type="character" w:customStyle="1" w:styleId="111">
    <w:name w:val="via1"/>
    <w:basedOn w:val="31"/>
    <w:qFormat/>
    <w:uiPriority w:val="0"/>
    <w:rPr>
      <w:color w:val="959595"/>
    </w:rPr>
  </w:style>
  <w:style w:type="character" w:customStyle="1" w:styleId="112">
    <w:name w:val="via"/>
    <w:basedOn w:val="31"/>
    <w:qFormat/>
    <w:uiPriority w:val="0"/>
    <w:rPr>
      <w:color w:val="959595"/>
    </w:rPr>
  </w:style>
  <w:style w:type="paragraph" w:customStyle="1" w:styleId="113">
    <w:name w:val="References"/>
    <w:basedOn w:val="1"/>
    <w:qFormat/>
    <w:uiPriority w:val="0"/>
    <w:pPr>
      <w:numPr>
        <w:ilvl w:val="0"/>
        <w:numId w:val="2"/>
      </w:numPr>
      <w:overflowPunct/>
      <w:adjustRightInd/>
      <w:spacing w:after="60"/>
      <w:textAlignment w:val="auto"/>
    </w:pPr>
    <w:rPr>
      <w:szCs w:val="16"/>
    </w:rPr>
  </w:style>
  <w:style w:type="paragraph" w:customStyle="1" w:styleId="114">
    <w:name w:val="B8"/>
    <w:basedOn w:val="115"/>
    <w:qFormat/>
    <w:uiPriority w:val="0"/>
    <w:pPr>
      <w:ind w:left="2552"/>
    </w:pPr>
  </w:style>
  <w:style w:type="paragraph" w:customStyle="1" w:styleId="115">
    <w:name w:val="B7"/>
    <w:basedOn w:val="116"/>
    <w:qFormat/>
    <w:uiPriority w:val="0"/>
    <w:pPr>
      <w:ind w:left="2269"/>
    </w:pPr>
  </w:style>
  <w:style w:type="paragraph" w:customStyle="1" w:styleId="116">
    <w:name w:val="B6"/>
    <w:basedOn w:val="117"/>
    <w:qFormat/>
    <w:uiPriority w:val="0"/>
    <w:pPr>
      <w:ind w:left="1985"/>
    </w:pPr>
  </w:style>
  <w:style w:type="paragraph" w:customStyle="1" w:styleId="117">
    <w:name w:val="B5"/>
    <w:basedOn w:val="28"/>
    <w:qFormat/>
    <w:uiPriority w:val="0"/>
  </w:style>
  <w:style w:type="paragraph" w:customStyle="1" w:styleId="118">
    <w:name w:val="hsh_正文"/>
    <w:basedOn w:val="1"/>
    <w:qFormat/>
    <w:uiPriority w:val="0"/>
    <w:pPr>
      <w:widowControl w:val="0"/>
      <w:autoSpaceDE/>
      <w:autoSpaceDN/>
      <w:adjustRightInd/>
      <w:snapToGrid/>
      <w:spacing w:beforeLines="50" w:afterLines="50" w:line="360" w:lineRule="exact"/>
    </w:pPr>
    <w:rPr>
      <w:rFonts w:eastAsia="宋体"/>
      <w:kern w:val="2"/>
      <w:sz w:val="21"/>
      <w:szCs w:val="24"/>
      <w:lang w:eastAsia="zh-CN"/>
    </w:rPr>
  </w:style>
  <w:style w:type="paragraph" w:customStyle="1" w:styleId="119">
    <w:name w:val="Agreement"/>
    <w:basedOn w:val="1"/>
    <w:next w:val="58"/>
    <w:qFormat/>
    <w:uiPriority w:val="0"/>
    <w:pPr>
      <w:numPr>
        <w:ilvl w:val="0"/>
        <w:numId w:val="3"/>
      </w:numPr>
      <w:spacing w:before="60" w:after="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146CC-491A-4B0A-8881-9B82F58AC31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5832</Words>
  <Characters>33245</Characters>
  <Lines>277</Lines>
  <Paragraphs>77</Paragraphs>
  <TotalTime>2</TotalTime>
  <ScaleCrop>false</ScaleCrop>
  <LinksUpToDate>false</LinksUpToDate>
  <CharactersWithSpaces>39000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2019-09-30T03:53:55Z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